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58E44" w14:textId="0E846807" w:rsidR="00340690" w:rsidRPr="00A172A1" w:rsidRDefault="00340690" w:rsidP="008A062B">
      <w:pPr>
        <w:pStyle w:val="Title"/>
        <w:pBdr>
          <w:bottom w:val="none" w:sz="0" w:space="0" w:color="auto"/>
        </w:pBdr>
        <w:jc w:val="center"/>
        <w:rPr>
          <w:b/>
          <w:color w:val="000000" w:themeColor="text1"/>
          <w:sz w:val="28"/>
        </w:rPr>
      </w:pPr>
      <w:r w:rsidRPr="00A172A1">
        <w:rPr>
          <w:b/>
          <w:color w:val="000000" w:themeColor="text1"/>
          <w:sz w:val="28"/>
        </w:rPr>
        <w:t>Does Local Intraoperative Corticosteroids Delivered in a Gel-Matrix Minimize Dysphagia following Anterior Discectomy and Fusion (ACDF)? A preliminary analysis of a Double Blind Randomize</w:t>
      </w:r>
      <w:r w:rsidR="001C73E5">
        <w:rPr>
          <w:b/>
          <w:color w:val="000000" w:themeColor="text1"/>
          <w:sz w:val="28"/>
        </w:rPr>
        <w:t xml:space="preserve">d </w:t>
      </w:r>
      <w:r w:rsidRPr="00A172A1">
        <w:rPr>
          <w:b/>
          <w:color w:val="000000" w:themeColor="text1"/>
          <w:sz w:val="28"/>
        </w:rPr>
        <w:t>Controlled Trial (RCT)</w:t>
      </w:r>
    </w:p>
    <w:p w14:paraId="297FB154" w14:textId="77777777" w:rsidR="00340690" w:rsidRPr="00340690" w:rsidRDefault="00340690" w:rsidP="008A062B">
      <w:pPr>
        <w:jc w:val="center"/>
      </w:pPr>
      <w:r w:rsidRPr="00340690">
        <w:t>Dan Stein, Han</w:t>
      </w:r>
      <w:r>
        <w:t xml:space="preserve"> </w:t>
      </w:r>
      <w:r w:rsidRPr="00340690">
        <w:t>Jo Kim, Darren Lebl, Russel Huang, Shari Jawetz, Virginie Lafage, Todd Albert</w:t>
      </w:r>
    </w:p>
    <w:p w14:paraId="22C2A933" w14:textId="77777777" w:rsidR="00340690" w:rsidRDefault="00340690" w:rsidP="008A062B">
      <w:pPr>
        <w:jc w:val="center"/>
      </w:pPr>
      <w:r>
        <w:t>Spine Service, Hospital for Special Surgery, New York, NY</w:t>
      </w:r>
    </w:p>
    <w:p w14:paraId="146F23BD" w14:textId="77777777" w:rsidR="00340690" w:rsidRPr="008A062B" w:rsidRDefault="00340690" w:rsidP="008A062B">
      <w:pPr>
        <w:pStyle w:val="Heading1"/>
      </w:pPr>
      <w:r w:rsidRPr="008A062B">
        <w:t>Summary</w:t>
      </w:r>
    </w:p>
    <w:p w14:paraId="06BABFD6" w14:textId="2790B1D2" w:rsidR="00340690" w:rsidRDefault="00340690" w:rsidP="006165A1">
      <w:pPr>
        <w:rPr>
          <w:shd w:val="clear" w:color="auto" w:fill="FFFFFF"/>
        </w:rPr>
      </w:pPr>
      <w:r>
        <w:rPr>
          <w:shd w:val="clear" w:color="auto" w:fill="FFFFFF"/>
        </w:rPr>
        <w:t xml:space="preserve">The aim of this double blind RCT </w:t>
      </w:r>
      <w:r w:rsidR="00A172A1">
        <w:rPr>
          <w:shd w:val="clear" w:color="auto" w:fill="FFFFFF"/>
        </w:rPr>
        <w:t xml:space="preserve">was </w:t>
      </w:r>
      <w:r>
        <w:rPr>
          <w:shd w:val="clear" w:color="auto" w:fill="FFFFFF"/>
        </w:rPr>
        <w:t>to determine if the application of local intraoperative corticosteroids (LIC), during ACDF surgery impacts</w:t>
      </w:r>
      <w:r w:rsidR="00541BF7">
        <w:rPr>
          <w:shd w:val="clear" w:color="auto" w:fill="FFFFFF"/>
        </w:rPr>
        <w:t xml:space="preserve"> the</w:t>
      </w:r>
      <w:r>
        <w:rPr>
          <w:shd w:val="clear" w:color="auto" w:fill="FFFFFF"/>
        </w:rPr>
        <w:t xml:space="preserve"> post-op dysphagia severity. This interim analysis revealed that patients treated with LIC showed smaller pre</w:t>
      </w:r>
      <w:r w:rsidR="00E25E75">
        <w:rPr>
          <w:shd w:val="clear" w:color="auto" w:fill="FFFFFF"/>
        </w:rPr>
        <w:t xml:space="preserve"> to </w:t>
      </w:r>
      <w:r>
        <w:rPr>
          <w:shd w:val="clear" w:color="auto" w:fill="FFFFFF"/>
        </w:rPr>
        <w:t xml:space="preserve">post op </w:t>
      </w:r>
      <w:r w:rsidR="006E41FF">
        <w:rPr>
          <w:shd w:val="clear" w:color="auto" w:fill="FFFFFF"/>
        </w:rPr>
        <w:t xml:space="preserve">worsening </w:t>
      </w:r>
      <w:r>
        <w:rPr>
          <w:shd w:val="clear" w:color="auto" w:fill="FFFFFF"/>
        </w:rPr>
        <w:t>in several dysphagia specific PRO domain scores, compared to a control group.</w:t>
      </w:r>
    </w:p>
    <w:p w14:paraId="455E34BB" w14:textId="77777777" w:rsidR="00340690" w:rsidRDefault="00340690" w:rsidP="008A062B">
      <w:pPr>
        <w:pStyle w:val="Heading1"/>
      </w:pPr>
      <w:r>
        <w:t>Abstract</w:t>
      </w:r>
    </w:p>
    <w:p w14:paraId="4A19C86B" w14:textId="77777777" w:rsidR="00340690" w:rsidRPr="008A062B" w:rsidRDefault="002E52CA" w:rsidP="008A062B">
      <w:pPr>
        <w:pStyle w:val="Heading2"/>
      </w:pPr>
      <w:r>
        <w:t>Null-</w:t>
      </w:r>
      <w:r w:rsidR="00340690" w:rsidRPr="008A062B">
        <w:t xml:space="preserve">Hypothesis: </w:t>
      </w:r>
    </w:p>
    <w:p w14:paraId="5A2A8C95" w14:textId="4EFB1DAB" w:rsidR="00340690" w:rsidRDefault="00A172A1" w:rsidP="006165A1">
      <w:r>
        <w:rPr>
          <w:shd w:val="clear" w:color="auto" w:fill="FFFFFF"/>
        </w:rPr>
        <w:t>Local intraoperative corticosteroids (</w:t>
      </w:r>
      <w:r w:rsidR="00340690">
        <w:rPr>
          <w:color w:val="000000"/>
          <w:shd w:val="clear" w:color="auto" w:fill="FFFFFF"/>
        </w:rPr>
        <w:t>LIC</w:t>
      </w:r>
      <w:r>
        <w:rPr>
          <w:color w:val="000000"/>
          <w:shd w:val="clear" w:color="auto" w:fill="FFFFFF"/>
        </w:rPr>
        <w:t>)</w:t>
      </w:r>
      <w:r w:rsidR="00340690">
        <w:rPr>
          <w:color w:val="000000"/>
          <w:shd w:val="clear" w:color="auto" w:fill="FFFFFF"/>
        </w:rPr>
        <w:t xml:space="preserve"> </w:t>
      </w:r>
      <w:r w:rsidR="006E41FF">
        <w:rPr>
          <w:color w:val="000000"/>
          <w:shd w:val="clear" w:color="auto" w:fill="FFFFFF"/>
        </w:rPr>
        <w:t>application has</w:t>
      </w:r>
      <w:r w:rsidR="00340690">
        <w:rPr>
          <w:color w:val="000000"/>
          <w:shd w:val="clear" w:color="auto" w:fill="FFFFFF"/>
        </w:rPr>
        <w:t xml:space="preserve"> no effect on</w:t>
      </w:r>
      <w:r w:rsidR="00535315">
        <w:rPr>
          <w:color w:val="000000"/>
          <w:shd w:val="clear" w:color="auto" w:fill="FFFFFF"/>
        </w:rPr>
        <w:t xml:space="preserve"> the</w:t>
      </w:r>
      <w:r w:rsidR="00340690">
        <w:rPr>
          <w:color w:val="000000"/>
          <w:shd w:val="clear" w:color="auto" w:fill="FFFFFF"/>
        </w:rPr>
        <w:t xml:space="preserve"> </w:t>
      </w:r>
      <w:r w:rsidR="00340690">
        <w:t xml:space="preserve">early </w:t>
      </w:r>
      <w:r w:rsidR="002E52CA">
        <w:t>post-operative</w:t>
      </w:r>
      <w:r w:rsidR="00340690">
        <w:t xml:space="preserve"> dysphagia severity. </w:t>
      </w:r>
    </w:p>
    <w:p w14:paraId="2D60168F" w14:textId="77777777" w:rsidR="00340690" w:rsidRDefault="008A062B" w:rsidP="008A062B">
      <w:pPr>
        <w:pStyle w:val="Heading2"/>
      </w:pPr>
      <w:r>
        <w:t>Design:</w:t>
      </w:r>
    </w:p>
    <w:p w14:paraId="5A4E2B0A" w14:textId="2AF97DC6" w:rsidR="00340690" w:rsidRPr="00B96272" w:rsidRDefault="00340690" w:rsidP="006165A1">
      <w:r w:rsidRPr="00B96272">
        <w:t>Double Blind Randomized Clinical Trial</w:t>
      </w:r>
      <w:r>
        <w:t xml:space="preserve"> – preliminary results, ongoing enrollment</w:t>
      </w:r>
    </w:p>
    <w:p w14:paraId="03D5F63A" w14:textId="77777777" w:rsidR="00340690" w:rsidRDefault="008A062B" w:rsidP="008A062B">
      <w:pPr>
        <w:pStyle w:val="Heading2"/>
      </w:pPr>
      <w:r>
        <w:t>Introduction:</w:t>
      </w:r>
    </w:p>
    <w:p w14:paraId="4253CF82" w14:textId="54402D2E" w:rsidR="00340690" w:rsidRDefault="00340690" w:rsidP="006165A1">
      <w:r>
        <w:t>Dysphagia is a common complication in the setting of ACDF surgery. There is</w:t>
      </w:r>
      <w:r w:rsidR="00284EF6">
        <w:t xml:space="preserve"> a</w:t>
      </w:r>
      <w:r>
        <w:t xml:space="preserve"> controversy in the literature regarding the effectiveness of </w:t>
      </w:r>
      <w:r w:rsidR="006E41FF">
        <w:t xml:space="preserve">local intraoperative corticosteroids </w:t>
      </w:r>
      <w:r>
        <w:t xml:space="preserve">in reducing post-operative dysphagia. This study aims to evaluate the effectiveness of LIC in decreasing the severity of swallowing difficulty following ACDF. </w:t>
      </w:r>
    </w:p>
    <w:p w14:paraId="244C9029" w14:textId="77777777" w:rsidR="00340690" w:rsidRPr="002E19ED" w:rsidRDefault="008A062B" w:rsidP="008A062B">
      <w:pPr>
        <w:pStyle w:val="Heading2"/>
      </w:pPr>
      <w:r w:rsidRPr="002E19ED">
        <w:lastRenderedPageBreak/>
        <w:t>Methods:</w:t>
      </w:r>
    </w:p>
    <w:p w14:paraId="284337E2" w14:textId="239AC509" w:rsidR="00340690" w:rsidRDefault="00340690" w:rsidP="008A062B">
      <w:pPr>
        <w:pStyle w:val="ListParagraph"/>
        <w:ind w:left="0"/>
      </w:pPr>
      <w:r>
        <w:t>Adult patients undergoing primary multi-level ACDF (2-4 levels) were enrolled at a single institution, and randomized (double</w:t>
      </w:r>
      <w:r w:rsidR="001D78B1">
        <w:t>-</w:t>
      </w:r>
      <w:r>
        <w:t xml:space="preserve">blinded) to two arms. </w:t>
      </w:r>
      <w:r w:rsidR="002E52CA">
        <w:t>Steroid Arm (S)</w:t>
      </w:r>
      <w:r>
        <w:t xml:space="preserve"> received 1ml (40mg) of m</w:t>
      </w:r>
      <w:r w:rsidRPr="002E19ED">
        <w:t xml:space="preserve">ethylprednisolone </w:t>
      </w:r>
      <w:r>
        <w:t xml:space="preserve">delivered with an absorbable gel matrix (vehicle) to the </w:t>
      </w:r>
      <w:r w:rsidRPr="00B96272">
        <w:t>retro</w:t>
      </w:r>
      <w:r>
        <w:t>-</w:t>
      </w:r>
      <w:r w:rsidRPr="00B96272">
        <w:t>esophageal</w:t>
      </w:r>
      <w:r>
        <w:t xml:space="preserve"> space prior to closure. The </w:t>
      </w:r>
      <w:r w:rsidR="002E52CA">
        <w:t xml:space="preserve">Control Arm </w:t>
      </w:r>
      <w:r>
        <w:t xml:space="preserve">(C) only received the </w:t>
      </w:r>
      <w:r w:rsidR="00022593">
        <w:t>vehicle</w:t>
      </w:r>
      <w:r>
        <w:t xml:space="preserve"> prior to closure. Dysphagia specific PROs (</w:t>
      </w:r>
      <w:proofErr w:type="spellStart"/>
      <w:r>
        <w:t>Swal</w:t>
      </w:r>
      <w:proofErr w:type="spellEnd"/>
      <w:r>
        <w:t xml:space="preserve">-QOL, Eat-10, </w:t>
      </w:r>
      <w:proofErr w:type="gramStart"/>
      <w:r>
        <w:t>Bazaz</w:t>
      </w:r>
      <w:proofErr w:type="gramEnd"/>
      <w:r>
        <w:t xml:space="preserve">) were collected pre-operatively, and at day-1 (POD1), day-2 (POD2), and 1 month (M1) post-operatively. A Mann-Whitney U test was performed to compare the median change in the PRO scores (S vs C) from baseline to each post-op time point.  </w:t>
      </w:r>
    </w:p>
    <w:p w14:paraId="2C2E01D5" w14:textId="77777777" w:rsidR="00340690" w:rsidRPr="002444D9" w:rsidRDefault="008A062B" w:rsidP="008A062B">
      <w:pPr>
        <w:pStyle w:val="Heading2"/>
      </w:pPr>
      <w:r w:rsidRPr="002444D9">
        <w:t>Results:</w:t>
      </w:r>
    </w:p>
    <w:p w14:paraId="7C09176D" w14:textId="7A67BA26" w:rsidR="00340690" w:rsidRDefault="00340690" w:rsidP="006165A1">
      <w:r>
        <w:t>A total of 59 patients were enrolled: 30 patients in the S</w:t>
      </w:r>
      <w:r w:rsidR="002E52CA">
        <w:t>teroid</w:t>
      </w:r>
      <w:r>
        <w:t xml:space="preserve"> Arm (37% with &gt;2 level fusion; 57% male), and 29 patients in the C</w:t>
      </w:r>
      <w:r w:rsidR="002E52CA">
        <w:t>ontr</w:t>
      </w:r>
      <w:r w:rsidR="00494555">
        <w:t>o</w:t>
      </w:r>
      <w:r w:rsidR="002E52CA">
        <w:t>l</w:t>
      </w:r>
      <w:r>
        <w:t xml:space="preserve"> Arm (52% with &gt;2 level</w:t>
      </w:r>
      <w:r w:rsidR="003E5B63">
        <w:t>s</w:t>
      </w:r>
      <w:r>
        <w:t xml:space="preserve"> </w:t>
      </w:r>
      <w:r w:rsidR="003E5B63">
        <w:t>ACDF</w:t>
      </w:r>
      <w:r w:rsidR="00694512">
        <w:t>;</w:t>
      </w:r>
      <w:r w:rsidR="003E5B63">
        <w:t xml:space="preserve"> </w:t>
      </w:r>
      <w:r>
        <w:t xml:space="preserve">2 </w:t>
      </w:r>
      <w:proofErr w:type="spellStart"/>
      <w:r>
        <w:t>Corpectomy</w:t>
      </w:r>
      <w:proofErr w:type="spellEnd"/>
      <w:r>
        <w:t xml:space="preserve">; 66% male). The </w:t>
      </w:r>
      <w:r w:rsidR="002E52CA">
        <w:t>C</w:t>
      </w:r>
      <w:r w:rsidR="003E5B63">
        <w:t>ontrol</w:t>
      </w:r>
      <w:r>
        <w:t xml:space="preserve"> arm had a </w:t>
      </w:r>
      <w:r w:rsidRPr="00A564BC">
        <w:t>higher BMI</w:t>
      </w:r>
      <w:r w:rsidRPr="008D12CF">
        <w:t xml:space="preserve"> (</w:t>
      </w:r>
      <w:r w:rsidRPr="002444D9">
        <w:t>31.7</w:t>
      </w:r>
      <w:r w:rsidRPr="00A564BC">
        <w:t>±</w:t>
      </w:r>
      <w:r w:rsidRPr="002444D9">
        <w:t>6 vs 28.4</w:t>
      </w:r>
      <w:r w:rsidRPr="00A564BC">
        <w:t>±</w:t>
      </w:r>
      <w:r w:rsidRPr="002444D9">
        <w:t>5.6, p=.03</w:t>
      </w:r>
      <w:r w:rsidRPr="00A564BC">
        <w:t>)</w:t>
      </w:r>
      <w:r w:rsidRPr="008D12CF">
        <w:t xml:space="preserve">, longer </w:t>
      </w:r>
      <w:r>
        <w:t>OR</w:t>
      </w:r>
      <w:r w:rsidRPr="008D12CF">
        <w:t xml:space="preserve"> time (</w:t>
      </w:r>
      <w:r w:rsidRPr="002444D9">
        <w:t xml:space="preserve">158±42 vs 132.6±40, </w:t>
      </w:r>
      <w:r w:rsidRPr="00A564BC">
        <w:t>p=.02</w:t>
      </w:r>
      <w:r w:rsidRPr="008D12CF">
        <w:t>)</w:t>
      </w:r>
      <w:r>
        <w:t>,</w:t>
      </w:r>
      <w:r w:rsidRPr="00A564BC">
        <w:t xml:space="preserve"> and</w:t>
      </w:r>
      <w:r>
        <w:t xml:space="preserve"> rated their baseline </w:t>
      </w:r>
      <w:r w:rsidRPr="00A564BC">
        <w:t>neck</w:t>
      </w:r>
      <w:r w:rsidRPr="008D12CF">
        <w:t xml:space="preserve"> (5.9±2.5 vs 3.77±2.8, p</w:t>
      </w:r>
      <w:r>
        <w:t>&lt;0.01</w:t>
      </w:r>
      <w:r w:rsidRPr="008D12CF">
        <w:t>)</w:t>
      </w:r>
      <w:r w:rsidRPr="00A564BC">
        <w:t xml:space="preserve"> and right arm (</w:t>
      </w:r>
      <w:r w:rsidRPr="002444D9">
        <w:t>3.82</w:t>
      </w:r>
      <w:r w:rsidRPr="00A564BC">
        <w:t>±</w:t>
      </w:r>
      <w:r w:rsidRPr="002444D9">
        <w:t>3.2 vs 1.48</w:t>
      </w:r>
      <w:r w:rsidRPr="00A564BC">
        <w:t>±</w:t>
      </w:r>
      <w:r w:rsidRPr="002444D9">
        <w:t xml:space="preserve">2.2, </w:t>
      </w:r>
      <w:r w:rsidRPr="00A564BC">
        <w:t>p=.002</w:t>
      </w:r>
      <w:r w:rsidRPr="008D12CF">
        <w:t>)</w:t>
      </w:r>
      <w:r>
        <w:t xml:space="preserve"> pain higher on</w:t>
      </w:r>
      <w:r w:rsidR="005D010A">
        <w:t xml:space="preserve"> the</w:t>
      </w:r>
      <w:r>
        <w:t xml:space="preserve"> visual pain scales. </w:t>
      </w:r>
      <w:r w:rsidRPr="008D12CF">
        <w:t>At baseline</w:t>
      </w:r>
      <w:r w:rsidR="0086230A">
        <w:t xml:space="preserve">, </w:t>
      </w:r>
      <w:r w:rsidRPr="008D12CF">
        <w:t>patients in the S</w:t>
      </w:r>
      <w:r w:rsidR="002E52CA">
        <w:t>teroid</w:t>
      </w:r>
      <w:r w:rsidRPr="008D12CF">
        <w:t xml:space="preserve"> and C</w:t>
      </w:r>
      <w:r w:rsidR="002E52CA">
        <w:t>ontrol</w:t>
      </w:r>
      <w:r w:rsidRPr="008D12CF">
        <w:t xml:space="preserve"> arm had similar dysphagia outcome scores. Pre</w:t>
      </w:r>
      <w:r w:rsidR="002E52CA">
        <w:t xml:space="preserve"> to post-operative</w:t>
      </w:r>
      <w:r w:rsidRPr="008D12CF">
        <w:t xml:space="preserve"> comparison </w:t>
      </w:r>
      <w:r>
        <w:t xml:space="preserve">of the SWAL-QOL domains </w:t>
      </w:r>
      <w:r w:rsidR="002E52CA">
        <w:t>revealed</w:t>
      </w:r>
      <w:r w:rsidR="002E52CA" w:rsidRPr="008D12CF">
        <w:t xml:space="preserve"> </w:t>
      </w:r>
      <w:r w:rsidRPr="008D12CF">
        <w:t>that patients</w:t>
      </w:r>
      <w:r>
        <w:t xml:space="preserve"> in group C </w:t>
      </w:r>
      <w:r w:rsidRPr="008D12CF">
        <w:t xml:space="preserve">had a </w:t>
      </w:r>
      <w:r>
        <w:t>worsening of</w:t>
      </w:r>
      <w:r w:rsidRPr="008D12CF">
        <w:t xml:space="preserve"> </w:t>
      </w:r>
      <w:r>
        <w:t xml:space="preserve">Burden sub-score at POD2, Fear at POD1 &amp; 2 and M1, Mental Health at POD1, Food selection at POD2, Eating Duration at M1; they also had a larger increase in </w:t>
      </w:r>
      <w:r w:rsidR="001D0CAE">
        <w:t xml:space="preserve">the </w:t>
      </w:r>
      <w:r>
        <w:t>modified inpatient Eat-10 score at POD1, and</w:t>
      </w:r>
      <w:r w:rsidR="001D0CAE">
        <w:t xml:space="preserve"> the</w:t>
      </w:r>
      <w:r>
        <w:t xml:space="preserve"> total Eat-10 score at M1. There was no difference between</w:t>
      </w:r>
      <w:r w:rsidR="001D0CAE">
        <w:t xml:space="preserve"> the</w:t>
      </w:r>
      <w:r>
        <w:t xml:space="preserve"> groups on the Bazaz -Dysphagia score at any time point. </w:t>
      </w:r>
    </w:p>
    <w:p w14:paraId="03D4A2A4" w14:textId="77777777" w:rsidR="00340690" w:rsidRDefault="008A062B" w:rsidP="008A062B">
      <w:pPr>
        <w:pStyle w:val="Heading2"/>
      </w:pPr>
      <w:r w:rsidRPr="002444D9">
        <w:t>Conclusion:</w:t>
      </w:r>
      <w:r w:rsidR="00340690">
        <w:t xml:space="preserve"> </w:t>
      </w:r>
    </w:p>
    <w:p w14:paraId="0F7032BD" w14:textId="77777777" w:rsidR="00340690" w:rsidRDefault="00340690" w:rsidP="0033134F">
      <w:r>
        <w:t>Our study shows a promising potential for the application of LIC with this delivery method to prophylactically reduce dysphagia following ACDFs</w:t>
      </w:r>
      <w:r w:rsidR="0086230A">
        <w:t>.</w:t>
      </w:r>
    </w:p>
    <w:p w14:paraId="5E57493C" w14:textId="77777777" w:rsidR="00340690" w:rsidRDefault="00340690" w:rsidP="0033134F">
      <w:pPr>
        <w:rPr>
          <w:noProof/>
        </w:rPr>
      </w:pPr>
    </w:p>
    <w:p w14:paraId="2E14C0BA" w14:textId="77777777" w:rsidR="00340690" w:rsidRDefault="00340690" w:rsidP="008A062B">
      <w:pPr>
        <w:pStyle w:val="Heading1"/>
      </w:pPr>
      <w:r>
        <w:lastRenderedPageBreak/>
        <w:t>Manuscript</w:t>
      </w:r>
    </w:p>
    <w:p w14:paraId="6D327835" w14:textId="77777777" w:rsidR="006E0D56" w:rsidRPr="006E0D56" w:rsidRDefault="006E0D56" w:rsidP="006E0D56">
      <w:pPr>
        <w:keepNext/>
        <w:keepLines/>
        <w:spacing w:before="200" w:after="0"/>
        <w:outlineLvl w:val="1"/>
        <w:rPr>
          <w:rFonts w:ascii="Calibri" w:eastAsiaTheme="majorEastAsia" w:hAnsi="Calibri" w:cstheme="majorBidi"/>
          <w:b/>
          <w:bCs/>
          <w:smallCaps/>
          <w:color w:val="000000" w:themeColor="text1"/>
          <w:sz w:val="24"/>
          <w:szCs w:val="26"/>
          <w:shd w:val="clear" w:color="auto" w:fill="FFFFFF"/>
        </w:rPr>
      </w:pPr>
      <w:r w:rsidRPr="006E0D56">
        <w:rPr>
          <w:rFonts w:ascii="Calibri" w:eastAsiaTheme="majorEastAsia" w:hAnsi="Calibri" w:cstheme="majorBidi"/>
          <w:b/>
          <w:bCs/>
          <w:smallCaps/>
          <w:color w:val="000000" w:themeColor="text1"/>
          <w:sz w:val="24"/>
          <w:szCs w:val="26"/>
          <w:shd w:val="clear" w:color="auto" w:fill="FFFFFF"/>
        </w:rPr>
        <w:t xml:space="preserve">Introduction </w:t>
      </w:r>
    </w:p>
    <w:p w14:paraId="443A84E3" w14:textId="4AE7832E" w:rsidR="006E0D56" w:rsidRPr="006E0D56" w:rsidRDefault="006E0D56" w:rsidP="006E0D56">
      <w:r w:rsidRPr="006E0D56">
        <w:t>Anterior Cervical Discectomy and Fusion (ACDF) is a highly successful and often favored approach for treating Cervical Spine Pathologies</w:t>
      </w:r>
      <w:r w:rsidRPr="006E0D56">
        <w:fldChar w:fldCharType="begin" w:fldLock="1"/>
      </w:r>
      <w:r w:rsidR="00A05D51">
        <w:instrText>ADDIN CSL_CITATION { "citationItems" : [ { "id" : "ITEM-1", "itemData" : { "author" : [ { "dropping-particle" : "", "family" : "Anderson", "given" : "Karen K", "non-dropping-particle" : "", "parse-names" : false, "suffix" : "" }, { "dropping-particle" : "", "family" : "Arnold", "given" : "Paul M", "non-dropping-particle" : "", "parse-names" : false, "suffix" : "" } ], "id" : "ITEM-1", "issued" : { "date-parts" : [ [ "2013" ] ] }, "title" : "Oropharyngeal Dysphagia after Anterior Cervical Spine Surgery : A Review", "type" : "article-journal" }, "uris" : [ "http://www.mendeley.com/documents/?uuid=8923197a-3f69-443b-93a5-d3d259e90ecd" ] }, { "id" : "ITEM-2", "itemData" : { "author" : [ { "dropping-particle" : "", "family" : "Shriver", "given" : "Michael F", "non-dropping-particle" : "", "parse-names" : false, "suffix" : "" }, { "dropping-particle" : "", "family" : "Lewis", "given" : "Daniel J", "non-dropping-particle" : "", "parse-names" : false, "suffix" : "" }, { "dropping-particle" : "", "family" : "Kshettry", "given" : "Varun R", "non-dropping-particle" : "", "parse-names" : false, "suffix" : "" }, { "dropping-particle" : "", "family" : "Benzel", "given" : "Edward C", "non-dropping-particle" : "", "parse-names" : false, "suffix" : "" }, { "dropping-particle" : "", "family" : "Mroz", "given" : "Thomas E", "non-dropping-particle" : "", "parse-names" : false, "suffix" : "" }, { "dropping-particle" : "", "family" : "Rosenbaum", "given" : "Benjamin P", "non-dropping-particle" : "", "parse-names" : false, "suffix" : "" } ], "id" : "ITEM-2", "issued" : { "date-parts" : [ [ "2017" ] ] }, "title" : "Dysphagia Rates after Anterior Cervical Diskectomy and Fusion : A Systematic Review and", "type" : "article-journal" }, "uris" : [ "http://www.mendeley.com/documents/?uuid=1053593b-8db6-47aa-bae3-b9ec513eb740" ] }, { "id" : "ITEM-3", "itemData" : { "ISBN" : "0000000000", "author" : [ { "dropping-particle" : "", "family" : "Wang", "given" : "Tao", "non-dropping-particle" : "", "parse-names" : false, "suffix" : "" }, { "dropping-particle" : "", "family" : "Wang", "given" : "Hui", "non-dropping-particle" : "", "parse-names" : false, "suffix" : "" }, { "dropping-particle" : "", "family" : "Liu", "given" : "Sen", "non-dropping-particle" : "", "parse-names" : false, "suffix" : "" }, { "dropping-particle" : "", "family" : "Liu", "given" : "Huan", "non-dropping-particle" : "", "parse-names" : false, "suffix" : "" }, { "dropping-particle" : "", "family" : "Ding", "given" : "Wen-yuan", "non-dropping-particle" : "", "parse-names" : false, "suffix" : "" } ], "id" : "ITEM-3", "issue" : "October", "issued" : { "date-parts" : [ [ "2016" ] ] }, "title" : "Anterior cervical discectomy and fusion versus anterior cervical corpectomy and fusion in multilevel cervical spondylotic myelopathy", "type" : "article-journal", "volume" : "49" }, "uris" : [ "http://www.mendeley.com/documents/?uuid=0c24621a-eb57-4639-bddb-e111726a1fab" ] }, { "id" : "ITEM-4", "itemData" : { "DOI" : "10.1007/s11999-010-1731-8", "ISSN" : "0009-921X", "PMID" : "21140251", "abstract" : "BACKGROUND Existing studies suggest a relatively high incidence of dysphagia after anterior cervical decompression and fusion (ACDF). The majority of these studies, however, are retrospective in nature and lack a control group. QUESTIONS/PURPOSES We therefore (1) prospectively determined the incidence and severity of dysphagia after ACDF using lumbar decompression patients as a control group; and (2) determined which factors, if any, are associated with increased postoperative dysphagia. METHODS Patients undergoing either one- or two-level ACDF (n=38) or posterior lumbar decompression (n=56) were prospectively followed. Baseline patient characteristics were recorded. A dysphagia questionnaire was administered preoperatively and during the 2-week, 6-week, and 12-week postoperative visits. We found no differences in patient age, body mass index, or the preoperative incidence and severity of dysphagia between the cervical and lumbar groups. We compared the incidence and severity of dysphagia between the patients who had cervical and lumbar surgery. RESULTS Postoperatively, 71% of patients having cervical spine surgery reported dysphagia at 2 weeks followup. This incidence decreased to 8% at 12 weeks followup. The incidence and severity of dysphagia were greater in the cervical group at 2 and 6 weeks followup with a trend toward greater dysphagia at 12 weeks followup. Body mass index, gender, location of surgery, and the number of surgical levels were not related to the risk of developing dysphagia. We observed a correlation between operative time and the severity of postoperative dysphagia. CONCLUSIONS Dysphagia is common after ACDF. The incidence and severity of postoperative dysphagia decreases over time, although symptoms may persist at least 12 weeks after surgery. LEVEL OF EVIDENCE Level II, prospective, comparative study. See Guidelines for Authors for a complete description of levels of evidence.", "author" : [ { "dropping-particle" : "", "family" : "Rihn", "given" : "Jeffrey A.", "non-dropping-particle" : "", "parse-names" : false, "suffix" : "" }, { "dropping-particle" : "", "family" : "Kane", "given" : "Justin", "non-dropping-particle" : "", "parse-names" : false, "suffix" : "" }, { "dropping-particle" : "", "family" : "Albert", "given" : "Todd J.", "non-dropping-particle" : "", "parse-names" : false, "suffix" : "" }, { "dropping-particle" : "", "family" : "Vaccaro", "given" : "Alexander R.", "non-dropping-particle" : "", "parse-names" : false, "suffix" : "" }, { "dropping-particle" : "", "family" : "Hilibrand", "given" : "Alan S.", "non-dropping-particle" : "", "parse-names" : false, "suffix" : "" } ], "container-title" : "Clinical Orthopaedics and Related Research?", "id" : "ITEM-4", "issue" : "3", "issued" : { "date-parts" : [ [ "2011", "3", "8" ] ] }, "page" : "658-665", "title" : "What Is the Incidence and Severity of Dysphagia After Anterior Cervical Surgery?", "type" : "article-journal", "volume" : "469" }, "uris" : [ "http://www.mendeley.com/documents/?uuid=550af45f-0f1a-3c8d-9b11-7d425c5d41a5" ] }, { "id" : "ITEM-5", "itemData" : { "DOI" : "10.3171/2014.12.SPINE14477.Disclosure", "author" : [ { "dropping-particle" : "", "family" : "Jeyamohan", "given" : "Shiveindra B", "non-dropping-particle" : "", "parse-names" : false, "suffix" : "" }, { "dropping-particle" : "", "family" : "Kenning", "given" : "Tyler J", "non-dropping-particle" : "", "parse-names" : false, "suffix" : "" }, { "dropping-particle" : "", "family" : "Petronis", "given" : "Karen A", "non-dropping-particle" : "", "parse-names" : false, "suffix" : "" }, { "dropping-particle" : "", "family" : "Feustel", "given" : "Paul J", "non-dropping-particle" : "", "parse-names" : false, "suffix" : "" }, { "dropping-particle" : "", "family" : "Drazin", "given" : "Doniel", "non-dropping-particle" : "", "parse-names" : false, "suffix" : "" }, { "dropping-particle" : "", "family" : "Dirisio", "given" : "Darryl J", "non-dropping-particle" : "", "parse-names" : false, "suffix" : "" } ], "id" : "ITEM-5", "issue" : "August", "issued" : { "date-parts" : [ [ "2015" ] ] }, "page" : "137-143", "title" : "Effect of steroid use in anterior cervical discectomy and fusion: a randomized controlled trial", "type" : "article-journal", "volume" : "23" }, "uris" : [ "http://www.mendeley.com/documents/?uuid=7c36d5fe-b0b7-4b3e-88e2-b1d45cd89f20" ] } ], "mendeley" : { "formattedCitation" : "[1\u20135]", "plainTextFormattedCitation" : "[1\u20135]", "previouslyFormattedCitation" : "[1\u20135]" }, "properties" : { "noteIndex" : 0 }, "schema" : "https://github.com/citation-style-language/schema/raw/master/csl-citation.json" }</w:instrText>
      </w:r>
      <w:r w:rsidRPr="006E0D56">
        <w:fldChar w:fldCharType="separate"/>
      </w:r>
      <w:r w:rsidR="00F94000" w:rsidRPr="00F94000">
        <w:rPr>
          <w:noProof/>
        </w:rPr>
        <w:t>[1–5]</w:t>
      </w:r>
      <w:r w:rsidRPr="006E0D56">
        <w:fldChar w:fldCharType="end"/>
      </w:r>
      <w:r w:rsidRPr="006E0D56">
        <w:t>. One of the more common complications of this surgical approach is the development of post-operative dysphagia, more commonly known as swallowing problems</w:t>
      </w:r>
      <w:r w:rsidRPr="006E0D56">
        <w:fldChar w:fldCharType="begin" w:fldLock="1"/>
      </w:r>
      <w:r w:rsidR="00A05D51">
        <w:instrText>ADDIN CSL_CITATION { "citationItems" : [ { "id" : "ITEM-1", "itemData" : { "DOI" : "10.1097/BRS.0b013e31823a7a5b", "ISSN" : "0362-2436", "PMID" : "22037524", "abstract" : "STUDY DESIGN Prospective clinical validation study of questionnaire to assess dysphagia. OBJECTIVE To test validity and reliability of Dysphagia Short Questionnaire (DSQ), and also to determine levels of dysphagia over time after anterior cervical spine surgery (ACSS). SUMMARY OF BACKGROUND DATA Dysphagia is common after ACSS but reports on the incidence vary widely between 1% and 79%, indicating an evaluation problem. Several tools for evaluation of dysphagia exist but common features are that they are cumbersome to use and usually are designed for patients with neurological or malignant diseases in the neck region. Others are not validated, for example, the Bazaz score. There is, thus, a need for a more adapted tool to evaluate dysphagia in patients undergoing ACSS. METHODS The DSQ was constructed in collaboration with a group of ear-nose-and-throat specialists. In a first validation study, 45 patients with stationary dysphagia for various reasons completed the DSQ twice 2 weeks apart, the M.D. Anderson Dysphagia Inventory (MDADI), the Bazaz score, and a quality-of-life score, the EQ-5D. To evaluate the utility of the DSQ, a second validation study was performed, where 111 subjects undergoing ACSS for degenerative disk disease completed the form preoperatively and at 4 weeks, 3 months, and 1 year after surgery. RESULTS In the first study, the DSQ correlated to MDADI (r = 0.59) and showed good reproducibility. The Bazaz score did not correlate to the DSQ, the MDADI, or the EQ-5 D. In the second study, dysphagia was present in a few patients already preoperatively. At 4 weeks, 85% of the patients reported dysphagia. The level had dropped significantly at 3 months and had returned to baseline levels at 1 year. CONCLUSION We consider the DSQ to be a validated tool for the assessment of dysphagia in ACSS patients. Dysphagia after ACSS for cervical spondylosis is common but the symptoms on a group level are not very severe and are also temporary.", "author" : [ { "dropping-particle" : "", "family" : "Skeppholm", "given" : "Martin", "non-dropping-particle" : "", "parse-names" : false, "suffix" : "" }, { "dropping-particle" : "", "family" : "Ingebro", "given" : "Catarina", "non-dropping-particle" : "", "parse-names" : false, "suffix" : "" }, { "dropping-particle" : "", "family" : "Engstr\u00f6m", "given" : "Therese", "non-dropping-particle" : "", "parse-names" : false, "suffix" : "" }, { "dropping-particle" : "", "family" : "Olerud", "given" : "Claes", "non-dropping-particle" : "", "parse-names" : false, "suffix" : "" } ], "container-title" : "Spine", "id" : "ITEM-1", "issue" : "11", "issued" : { "date-parts" : [ [ "2012", "5", "15" ] ] }, "page" : "996-1002", "title" : "The Dysphagia Short Questionnaire", "type" : "article-journal", "volume" : "37" }, "uris" : [ "http://www.mendeley.com/documents/?uuid=75ba05b9-15d3-3887-8497-fb2b6923fd1a" ] }, { "id" : "ITEM-2", "itemData" : { "author" : [ { "dropping-particle" : "", "family" : "Rosenthal", "given" : "Brett D", "non-dropping-particle" : "", "parse-names" : false, "suffix" : "" }, { "dropping-particle" : "", "family" : "Nair", "given" : "Rueben", "non-dropping-particle" : "", "parse-names" : false, "suffix" : "" }, { "dropping-particle" : "", "family" : "Hsu", "given" : "Wellington K", "non-dropping-particle" : "", "parse-names" : false, "suffix" : "" }, { "dropping-particle" : "", "family" : "Patel", "given" : "Alpesh A", "non-dropping-particle" : "", "parse-names" : false, "suffix" : "" }, { "dropping-particle" : "", "family" : "Savage", "given" : "Jason W", "non-dropping-particle" : "", "parse-names" : false, "suffix" : "" } ], "id" : "ITEM-2", "issue" : "9", "issued" : { "date-parts" : [ [ "2016" ] ] }, "page" : "363-367", "title" : "Dysphagia and Dysphonia Assessment Tools After Anterior Cervical Spine Surgery", "type" : "article-journal", "volume" : "29" }, "uris" : [ "http://www.mendeley.com/documents/?uuid=67e2fdf9-7b71-4155-a1ee-473147012fb1" ] }, { "id" : "ITEM-3", "itemData" : { "author" : [ { "dropping-particle" : "", "family" : "Anderson", "given" : "Karen K", "non-dropping-particle" : "", "parse-names" : false, "suffix" : "" }, { "dropping-particle" : "", "family" : "Arnold", "given" : "Paul M", "non-dropping-particle" : "", "parse-names" : false, "suffix" : "" } ], "id" : "ITEM-3", "issued" : { "date-parts" : [ [ "2013" ] ] }, "title" : "Oropharyngeal Dysphagia after Anterior Cervical Spine Surgery : A Review", "type" : "article-journal" }, "uris" : [ "http://www.mendeley.com/documents/?uuid=8923197a-3f69-443b-93a5-d3d259e90ecd" ] }, { "id" : "ITEM-4", "itemData" : { "author" : [ { "dropping-particle" : "", "family" : "Shriver", "given" : "Michael F", "non-dropping-particle" : "", "parse-names" : false, "suffix" : "" }, { "dropping-particle" : "", "family" : "Lewis", "given" : "Daniel J", "non-dropping-particle" : "", "parse-names" : false, "suffix" : "" }, { "dropping-particle" : "", "family" : "Kshettry", "given" : "Varun R", "non-dropping-particle" : "", "parse-names" : false, "suffix" : "" }, { "dropping-particle" : "", "family" : "Benzel", "given" : "Edward C", "non-dropping-particle" : "", "parse-names" : false, "suffix" : "" }, { "dropping-particle" : "", "family" : "Mroz", "given" : "Thomas E", "non-dropping-particle" : "", "parse-names" : false, "suffix" : "" }, { "dropping-particle" : "", "family" : "Rosenbaum", "given" : "Benjamin P", "non-dropping-particle" : "", "parse-names" : false, "suffix" : "" } ], "id" : "ITEM-4", "issued" : { "date-parts" : [ [ "2017" ] ] }, "title" : "Dysphagia Rates after Anterior Cervical Diskectomy and Fusion : A Systematic Review and", "type" : "article-journal" }, "uris" : [ "http://www.mendeley.com/documents/?uuid=1053593b-8db6-47aa-bae3-b9ec513eb740" ] }, { "id" : "ITEM-5", "itemData" : { "DOI" : "10.1007/s11999-010-1731-8", "ISSN" : "0009-921X", "PMID" : "21140251", "abstract" : "BACKGROUND Existing studies suggest a relatively high incidence of dysphagia after anterior cervical decompression and fusion (ACDF). The majority of these studies, however, are retrospective in nature and lack a control group. QUESTIONS/PURPOSES We therefore (1) prospectively determined the incidence and severity of dysphagia after ACDF using lumbar decompression patients as a control group; and (2) determined which factors, if any, are associated with increased postoperative dysphagia. METHODS Patients undergoing either one- or two-level ACDF (n=38) or posterior lumbar decompression (n=56) were prospectively followed. Baseline patient characteristics were recorded. A dysphagia questionnaire was administered preoperatively and during the 2-week, 6-week, and 12-week postoperative visits. We found no differences in patient age, body mass index, or the preoperative incidence and severity of dysphagia between the cervical and lumbar groups. We compared the incidence and severity of dysphagia between the patients who had cervical and lumbar surgery. RESULTS Postoperatively, 71% of patients having cervical spine surgery reported dysphagia at 2 weeks followup. This incidence decreased to 8% at 12 weeks followup. The incidence and severity of dysphagia were greater in the cervical group at 2 and 6 weeks followup with a trend toward greater dysphagia at 12 weeks followup. Body mass index, gender, location of surgery, and the number of surgical levels were not related to the risk of developing dysphagia. We observed a correlation between operative time and the severity of postoperative dysphagia. CONCLUSIONS Dysphagia is common after ACDF. The incidence and severity of postoperative dysphagia decreases over time, although symptoms may persist at least 12 weeks after surgery. LEVEL OF EVIDENCE Level II, prospective, comparative study. See Guidelines for Authors for a complete description of levels of evidence.", "author" : [ { "dropping-particle" : "", "family" : "Rihn", "given" : "Jeffrey A.", "non-dropping-particle" : "", "parse-names" : false, "suffix" : "" }, { "dropping-particle" : "", "family" : "Kane", "given" : "Justin", "non-dropping-particle" : "", "parse-names" : false, "suffix" : "" }, { "dropping-particle" : "", "family" : "Albert", "given" : "Todd J.", "non-dropping-particle" : "", "parse-names" : false, "suffix" : "" }, { "dropping-particle" : "", "family" : "Vaccaro", "given" : "Alexander R.", "non-dropping-particle" : "", "parse-names" : false, "suffix" : "" }, { "dropping-particle" : "", "family" : "Hilibrand", "given" : "Alan S.", "non-dropping-particle" : "", "parse-names" : false, "suffix" : "" } ], "container-title" : "Clinical Orthopaedics and Related Research?", "id" : "ITEM-5", "issue" : "3", "issued" : { "date-parts" : [ [ "2011", "3", "8" ] ] }, "page" : "658-665", "title" : "What Is the Incidence and Severity of Dysphagia After Anterior Cervical Surgery?", "type" : "article-journal", "volume" : "469" }, "uris" : [ "http://www.mendeley.com/documents/?uuid=550af45f-0f1a-3c8d-9b11-7d425c5d41a5" ] } ], "mendeley" : { "formattedCitation" : "[1,2,4,6,7]", "plainTextFormattedCitation" : "[1,2,4,6,7]", "previouslyFormattedCitation" : "[1,2,4,6,7]" }, "properties" : { "noteIndex" : 0 }, "schema" : "https://github.com/citation-style-language/schema/raw/master/csl-citation.json" }</w:instrText>
      </w:r>
      <w:r w:rsidRPr="006E0D56">
        <w:fldChar w:fldCharType="separate"/>
      </w:r>
      <w:r w:rsidR="00F94000" w:rsidRPr="00F94000">
        <w:rPr>
          <w:noProof/>
        </w:rPr>
        <w:t>[1,2,4,6,7]</w:t>
      </w:r>
      <w:r w:rsidRPr="006E0D56">
        <w:fldChar w:fldCharType="end"/>
      </w:r>
      <w:r w:rsidRPr="006E0D56">
        <w:t>.</w:t>
      </w:r>
    </w:p>
    <w:p w14:paraId="1408C738" w14:textId="5E696D92" w:rsidR="006E0D56" w:rsidRPr="006E0D56" w:rsidRDefault="006E0D56" w:rsidP="006E0D56">
      <w:r w:rsidRPr="006E0D56">
        <w:t xml:space="preserve">Swallowing is the result </w:t>
      </w:r>
      <w:r w:rsidR="00A403CC">
        <w:t xml:space="preserve">of </w:t>
      </w:r>
      <w:r w:rsidRPr="006E0D56">
        <w:t>a complex coordination of the connective, muscular, and neuronal structures of the oral cavity, pharynx, and esophagus</w:t>
      </w:r>
      <w:r w:rsidR="006E41FF">
        <w:t>; i</w:t>
      </w:r>
      <w:r w:rsidRPr="006E0D56">
        <w:t>mpairment, interruption, or disruption of this intricate bi</w:t>
      </w:r>
      <w:r w:rsidR="0068101D">
        <w:t>o-</w:t>
      </w:r>
      <w:r w:rsidRPr="006E0D56">
        <w:t>mechanism</w:t>
      </w:r>
      <w:r w:rsidR="00A403CC">
        <w:t xml:space="preserve"> leads to swallowing dysfunction following ADCF</w:t>
      </w:r>
      <w:r w:rsidRPr="006E0D56">
        <w:t xml:space="preserve">. The </w:t>
      </w:r>
      <w:r w:rsidR="0068101D">
        <w:t>specific</w:t>
      </w:r>
      <w:r w:rsidR="0068101D" w:rsidRPr="006E0D56">
        <w:t xml:space="preserve"> </w:t>
      </w:r>
      <w:r w:rsidRPr="006E0D56">
        <w:t xml:space="preserve">surgical factors that cause post-operative dysphagia and demographic factors that place patients at an elevated risk of developing more severe post-operative dysphagia have been widely debated in the </w:t>
      </w:r>
      <w:r w:rsidRPr="002E52CA">
        <w:t xml:space="preserve">literature. </w:t>
      </w:r>
    </w:p>
    <w:p w14:paraId="2FCF5F26" w14:textId="01B0902E" w:rsidR="006E0D56" w:rsidRPr="006E0D56" w:rsidRDefault="006E0D56" w:rsidP="006E0D56">
      <w:r w:rsidRPr="006E0D56">
        <w:t xml:space="preserve">The literature addressing dysphagia after ACDF </w:t>
      </w:r>
      <w:r w:rsidR="002E52CA">
        <w:t>includes</w:t>
      </w:r>
      <w:r w:rsidRPr="006E0D56">
        <w:t xml:space="preserve"> a </w:t>
      </w:r>
      <w:r w:rsidR="0068101D">
        <w:t>broad</w:t>
      </w:r>
      <w:r w:rsidR="0068101D" w:rsidRPr="006E0D56">
        <w:t xml:space="preserve"> </w:t>
      </w:r>
      <w:r w:rsidRPr="006E0D56">
        <w:t>range of reported incidence, severity, and duration (</w:t>
      </w:r>
      <w:r w:rsidR="002E52CA">
        <w:t xml:space="preserve">i.e. </w:t>
      </w:r>
      <w:r w:rsidRPr="006E0D56">
        <w:t>time to resolution of the complication</w:t>
      </w:r>
      <w:r w:rsidR="002E52CA">
        <w:t>)</w:t>
      </w:r>
      <w:r w:rsidRPr="006E0D56">
        <w:t xml:space="preserve">. The occurrence of </w:t>
      </w:r>
      <w:r w:rsidR="002E52CA" w:rsidRPr="006E0D56">
        <w:t>post-operative</w:t>
      </w:r>
      <w:r w:rsidRPr="006E0D56">
        <w:t xml:space="preserve"> dysphagia has been reported </w:t>
      </w:r>
      <w:r w:rsidR="002E52CA">
        <w:t xml:space="preserve">as ranging from </w:t>
      </w:r>
      <w:r w:rsidRPr="006E0D56">
        <w:t>1%</w:t>
      </w:r>
      <w:r w:rsidR="002E52CA">
        <w:t xml:space="preserve"> to </w:t>
      </w:r>
      <w:r w:rsidRPr="006E0D56">
        <w:t>79%</w:t>
      </w:r>
      <w:r w:rsidR="00F94000">
        <w:t xml:space="preserve"> </w:t>
      </w:r>
      <w:r w:rsidRPr="006E0D56">
        <w:fldChar w:fldCharType="begin" w:fldLock="1"/>
      </w:r>
      <w:r w:rsidR="009F10AD">
        <w:instrText>ADDIN CSL_CITATION { "citationItems" : [ { "id" : "ITEM-1", "itemData" : { "DOI" : "10.1097/01.BRS.0000031407.52778.4B", "ISBN" : "0362-2436", "ISSN" : "1528-1159", "PMID" : "12435974", "abstract" : "STUDY DESIGN: A prospective longitudinal study was conducted to evaluate dysphagia after anterior cervical spine surgery. OBJECTIVES: To evaluate the incidence and natural history of dysphagia after anterior cervical spine surgery, and to identify risk factors for the development of postoperative dysphagia. SUMMARY OF BACKGROUND DATA: The literature contains only retrospective evaluations of postoperative dysphagia. A wide range of incidence has been reported in these studies. METHODS: Altogether, 249 consecutive patients undergoing anterior cervical spine surgery were eligible for the study. These patients were contacted 1, 2, 6, and 12 months after the procedure to evaluate swallowing. Risk factors such as age, gender, procedure type, hardware use, and number and location of surgical levels addressed were assessed. RESULTS: Dysphagia incidences of 50.2%, 32.2%, 17.8%, and 12.5% were found at 1, 2, 6, and 12 months, respectively. At 6 months after the procedure, only 4.8% of the patients were experiencing moderate or severe dysphagia. Patient age, type of procedure (corpectomy vs. discectomy or primary vs. revision), hardware presence, and location of surgical levels were not statistically significant risk factors for the development of postoperative dysphagia. Female gender was significant for increased risk of dysphagia at 6 months. Surgery at multiple disc levels increased the risk of postoperative dysphagia at 1 and 2 months. The etiology of the dysphagia in most of the patients was unknown. However, vocal cord paresis was identified in 1.3% of the patients at 12 months. CONCLUSIONS: Dysphagia after anterior cervical spine surgery is a common early finding. However, it decreases significantly by 6 months. The minority of patients experience moderate or severe symptoms by 6 months after the procedure. Female gender and multiple surgical levels could be identified as risk factors for the development of postoperative dysphagia.", "author" : [ { "dropping-particle" : "", "family" : "Bazaz", "given" : "Rajesh", "non-dropping-particle" : "", "parse-names" : false, "suffix" : "" }, { "dropping-particle" : "", "family" : "Lee", "given" : "Michael J", "non-dropping-particle" : "", "parse-names" : false, "suffix" : "" }, { "dropping-particle" : "", "family" : "Yoo", "given" : "Jung U", "non-dropping-particle" : "", "parse-names" : false, "suffix" : "" } ], "container-title" : "Spine", "id" : "ITEM-1", "issue" : "22", "issued" : { "date-parts" : [ [ "2002" ] ] }, "page" : "2453-2458", "title" : "Incidence of dysphagia after anterior cervical spine surgery: a prospective study.", "type" : "article-journal", "volume" : "27" }, "uris" : [ "http://www.mendeley.com/documents/?uuid=650425e0-63d7-454a-b457-0cb2301fe4b7" ] }, { "id" : "ITEM-2", "itemData" : { "DOI" : "10.1097/BRS.0000000000001293", "ISBN" : "0000000000", "author" : [ { "dropping-particle" : "", "family" : "Koreckij", "given" : "Theodore D", "non-dropping-particle" : "", "parse-names" : false, "suffix" : "" }, { "dropping-particle" : "", "family" : "Davidson", "given" : "Abigail A", "non-dropping-particle" : "", "parse-names" : false, "suffix" : "" }, { "dropping-particle" : "", "family" : "Baker", "given" : "Kevin C", "non-dropping-particle" : "", "parse-names" : false, "suffix" : "" }, { "dropping-particle" : "", "family" : "Park", "given" : "Daniel K", "non-dropping-particle" : "", "parse-names" : false, "suffix" : "" } ], "id" : "ITEM-2", "issue" : "9", "issued" : { "date-parts" : [ [ "2016" ] ] }, "page" : "530-534", "title" : "Retropharyngeal Steroids and Dysphagia Following Multilevel Anterior Cervical Surgery", "type" : "article-journal", "volume" : "41" }, "uris" : [ "http://www.mendeley.com/documents/?uuid=94d08d25-159b-43ae-8e2d-c558b4eb11b2" ] }, { "id" : "ITEM-3", "itemData" : { "ISSN" : "1528-1159", "PMID" : "16284596", "abstract" : "STUDY DESIGN Retrospective analysis of the incidence and prevalence of dysphagia after anterior cervical decompression and fusion (ACDF). OBJECTIVES To examine the incidence and prevalence of dysphagia after ACDF, determine possible associated patient and procedural characteristics, and examine dysphagia's impact on long-term health status and function. SUMMARY OF BACKGROUND DATA Dysphagia is a common early complaint after ACDF, but the risk factors associated with its development are not understood. METHODS Telephone surveys (Cervical Spine Outcomes Questionnaire) and clinical assessments (Oswestry Neck Disability Scale and SF-36) were used to evaluate 454 patients who had undergone ACDF at one of 23 nationwide sites for individual and procedure characteristics that might contribute to dysphagia. RESULTS Of the 454 patients, 30% reported dysphagia at the 3-month assessment (incident cases). The incidence of new complaints of dysphagia at each follow-up point was 29.8%, 6.9%, and 6.6% at 3, 6, and 24 months, respectively. Dysphagia persisted at 6 and 24 months in 21.5% and 21.3% of patients, respectively. The risk of dysphagia increased with number of surgical vertebral levels at 3 months: 1 level, 42 of 212 (19.8%); 2 levels, 50 of 150 (33.3%); 3+ levels, 36 of 92 (39.1%). Patients reporting dysphagia at 3 months had a significantly higher self-reported disability and lower physical health status at subsequent assessments. CONCLUSION Duration of preexisting pain and the number of vertebral levels involved in the surgical procedure appear to influence the likelihood of dysphagia after ACDF.", "author" : [ { "dropping-particle" : "", "family" : "Riley", "given" : "Lee H", "non-dropping-particle" : "", "parse-names" : false, "suffix" : "" }, { "dropping-particle" : "", "family" : "Skolasky", "given" : "Richard L", "non-dropping-particle" : "", "parse-names" : false, "suffix" : "" }, { "dropping-particle" : "", "family" : "Albert", "given" : "Todd J", "non-dropping-particle" : "", "parse-names" : false, "suffix" : "" }, { "dropping-particle" : "", "family" : "Vaccaro", "given" : "Alexander R", "non-dropping-particle" : "", "parse-names" : false, "suffix" : "" }, { "dropping-particle" : "", "family" : "Heller", "given" : "John G", "non-dropping-particle" : "", "parse-names" : false, "suffix" : "" } ], "container-title" : "Spine", "id" : "ITEM-3", "issue" : "22", "issued" : { "date-parts" : [ [ "2005", "11", "15" ] ] }, "page" : "2564-9", "title" : "Dysphagia after anterior cervical decompression and fusion: prevalence and risk factors from a longitudinal cohort study.", "type" : "article-journal", "volume" : "30" }, "uris" : [ "http://www.mendeley.com/documents/?uuid=d3c74f59-2523-3cf7-9e6c-9749bfc90ac2" ] }, { "id" : "ITEM-4", "itemData" : { "DOI" : "10.1097/BRS.0b013e318237e5d0", "ISSN" : "0362-2436", "PMID" : "22020609", "abstract" : "STUDY DESIGN A prospective, randomized study. OBJECTIVE To analyze the effect of local retropharyngeal steroid to reduce prevertebral soft tissue swelling (PSTS) after anterior cervical discectomy and fusion (ACDF). SUMMARY OF BACKGROUND DATA There have been several reports on intravenous corticosteroid to prevent airway complication without a consensus; however, there have been no reports to date that have discussed the use of local steroids to reduce PSTS. METHODS Fifty cases that underwent ACDF involving 1 or 2 segments were enrolled. The mean follow-up period was 22 months. Of the 25 cases randomly selected as the steroid group, a mixture of triamcinolone and morcellized collagen sponge was applied to the retropharyngeal space before wound closure. For the control group, the other 25 cases received the operation without steroid. We measured the PSTS ratio to vertebral body from C3 to 7 and PSTS index (PSTSI; mean of PSTS ratio at C3, 4, and 5) on cervical spine. Simple lateral radiographs were taken preoperatively, immediately after operation, and at postoperative 2 days, 4 days, 2 weeks, and the last follow-up. The changes in odynophagia, radiological union, Neck Disability Index were analyzed. RESULTS The PSTS ratio of the steroid group was significantly lower on C3 and C4 immediately after operation, on C3, 4, 5 and C6 at postoperative 2 days, on C3, 4, and 5 at 4 days. The differences of PSTSI (the steroid: control group) maintained at 58.2: 74.3% (P = 0.004) immediately after operation, 57.9: 84.1% (P = 0.000) at 2 days, 56.3: 82.9% (P = 0.000) at 4 days, and 44.9: 51.4% (P = 0.037) at 2 weeks. The mean Visual Analogue Scale for odynophagia was significantly lower in the steroid group until postoperative 2 weeks. The last follow-up showed no significant difference in the radiological and clinical outcome. CONCLUSION Using the retropharyngeal local steroid, we significantly reduced PSTS and odynophagia following ACDF without additional complication. This method may be considered a simple and effective method to decrease PSTS following anterior cervical spine surgery.", "author" : [ { "dropping-particle" : "", "family" : "Lee", "given" : "Sang-Hun", "non-dropping-particle" : "", "parse-names" : false, "suffix" : "" }, { "dropping-particle" : "", "family" : "Kim", "given" : "Ki-Tack", "non-dropping-particle" : "", "parse-names" : false, "suffix" : "" }, { "dropping-particle" : "", "family" : "Suk", "given" : "Kyung-Soo", "non-dropping-particle" : "", "parse-names" : false, "suffix" : "" }, { "dropping-particle" : "", "family" : "Park", "given" : "Kyoung-Jun", "non-dropping-particle" : "", "parse-names" : false, "suffix" : "" }, { "dropping-particle" : "", "family" : "Oh", "given" : "Kyung-Il", "non-dropping-particle" : "", "parse-names" : false, "suffix" : "" } ], "container-title" : "Spine", "id" : "ITEM-4", "issue" : "26", "issued" : { "date-parts" : [ [ "2011", "12", "15" ] ] }, "page" : "2286-2292", "title" : "Effect of Retropharyngeal Steroid on Prevertebral Soft Tissue Swelling Following Anterior Cervical Discectomy and Fusion", "type" : "article-journal", "volume" : "36" }, "uris" : [ "http://www.mendeley.com/documents/?uuid=66724300-6b5a-3e74-a532-1919bfe4364e" ] }, { "id" : "ITEM-5", "itemData" : { "DOI" : "10.1007/s11999-010-1731-8", "ISSN" : "0009-921X", "PMID" : "21140251", "abstract" : "BACKGROUND Existing studies suggest a relatively high incidence of dysphagia after anterior cervical decompression and fusion (ACDF). The majority of these studies, however, are retrospective in nature and lack a control group. QUESTIONS/PURPOSES We therefore (1) prospectively determined the incidence and severity of dysphagia after ACDF using lumbar decompression patients as a control group; and (2) determined which factors, if any, are associated with increased postoperative dysphagia. METHODS Patients undergoing either one- or two-level ACDF (n=38) or posterior lumbar decompression (n=56) were prospectively followed. Baseline patient characteristics were recorded. A dysphagia questionnaire was administered preoperatively and during the 2-week, 6-week, and 12-week postoperative visits. We found no differences in patient age, body mass index, or the preoperative incidence and severity of dysphagia between the cervical and lumbar groups. We compared the incidence and severity of dysphagia between the patients who had cervical and lumbar surgery. RESULTS Postoperatively, 71% of patients having cervical spine surgery reported dysphagia at 2 weeks followup. This incidence decreased to 8% at 12 weeks followup. The incidence and severity of dysphagia were greater in the cervical group at 2 and 6 weeks followup with a trend toward greater dysphagia at 12 weeks followup. Body mass index, gender, location of surgery, and the number of surgical levels were not related to the risk of developing dysphagia. We observed a correlation between operative time and the severity of postoperative dysphagia. CONCLUSIONS Dysphagia is common after ACDF. The incidence and severity of postoperative dysphagia decreases over time, although symptoms may persist at least 12 weeks after surgery. LEVEL OF EVIDENCE Level II, prospective, comparative study. See Guidelines for Authors for a complete description of levels of evidence.", "author" : [ { "dropping-particle" : "", "family" : "Rihn", "given" : "Jeffrey A.", "non-dropping-particle" : "", "parse-names" : false, "suffix" : "" }, { "dropping-particle" : "", "family" : "Kane", "given" : "Justin", "non-dropping-particle" : "", "parse-names" : false, "suffix" : "" }, { "dropping-particle" : "", "family" : "Albert", "given" : "Todd J.", "non-dropping-particle" : "", "parse-names" : false, "suffix" : "" }, { "dropping-particle" : "", "family" : "Vaccaro", "given" : "Alexander R.", "non-dropping-particle" : "", "parse-names" : false, "suffix" : "" }, { "dropping-particle" : "", "family" : "Hilibrand", "given" : "Alan S.", "non-dropping-particle" : "", "parse-names" : false, "suffix" : "" } ], "container-title" : "Clinical Orthopaedics and Related Research?", "id" : "ITEM-5", "issue" : "3", "issued" : { "date-parts" : [ [ "2011", "3", "8" ] ] }, "page" : "658-665", "title" : "What Is the Incidence and Severity of Dysphagia After Anterior Cervical Surgery?", "type" : "article-journal", "volume" : "469" }, "uris" : [ "http://www.mendeley.com/documents/?uuid=550af45f-0f1a-3c8d-9b11-7d425c5d41a5" ] } ], "mendeley" : { "formattedCitation" : "[4,8\u201311]", "plainTextFormattedCitation" : "[4,8\u201311]", "previouslyFormattedCitation" : "[4,8\u201311]" }, "properties" : { "noteIndex" : 0 }, "schema" : "https://github.com/citation-style-language/schema/raw/master/csl-citation.json" }</w:instrText>
      </w:r>
      <w:r w:rsidRPr="006E0D56">
        <w:fldChar w:fldCharType="separate"/>
      </w:r>
      <w:r w:rsidR="009F10AD" w:rsidRPr="009F10AD">
        <w:rPr>
          <w:noProof/>
        </w:rPr>
        <w:t>[4,8–11]</w:t>
      </w:r>
      <w:r w:rsidRPr="006E0D56">
        <w:fldChar w:fldCharType="end"/>
      </w:r>
      <w:r w:rsidRPr="006E0D56">
        <w:t xml:space="preserve">. The severity of </w:t>
      </w:r>
      <w:r w:rsidR="003F0050">
        <w:t>d</w:t>
      </w:r>
      <w:r w:rsidR="003F0050" w:rsidRPr="006E0D56">
        <w:t xml:space="preserve">ysphagia </w:t>
      </w:r>
      <w:r w:rsidRPr="006E0D56">
        <w:t xml:space="preserve">experienced by patients following ACDFs can range anywhere from a mild and subjective discomfort (i.e. fullness of the throat and soreness) to serious medical issues such as malnutrition, social isolation, aspiration pneumonia, airway obstruction, and even death </w:t>
      </w:r>
      <w:r w:rsidRPr="006E0D56">
        <w:fldChar w:fldCharType="begin" w:fldLock="1"/>
      </w:r>
      <w:r w:rsidR="009F10AD">
        <w:instrText>ADDIN CSL_CITATION { "citationItems" : [ { "id" : "ITEM-1", "itemData" : { "DOI" : "10.1177/0003489414558107", "author" : [ { "dropping-particle" : "", "family" : "Cheney", "given" : "Diane M", "non-dropping-particle" : "", "parse-names" : false, "suffix" : "" } ], "id" : "ITEM-1", "issue" : "October 2014", "issued" : { "date-parts" : [ [ "2015" ] ] }, "title" : "The Ability of the 10-Item Eating Assessment Tool ( EAT-10 ) to Predict Aspiration Risk in Persons With Dysphagia The Ability of the 10-Item Eating Assessment Tool ( EAT-10 ) to Predict Aspiration Risk in Persons With Dysphagia", "type" : "article-journal" }, "uris" : [ "http://www.mendeley.com/documents/?uuid=c37503d8-ae1c-466e-8c24-622882b05af1" ] }, { "id" : "ITEM-2", "itemData" : { "DOI" : "10.1007/s00455-015-9680-8", "ISSN" : "0179-051X", "PMID" : "26753926", "abstract" : "In daily clinical practice, patients are frequently asked about their swallowing as part of the patient-clinician interview. This study compares the diagnostic performance of a single open question 'What about swallowing?' (usual care) with the Eating Assessment Tool (EAT-10) as reference test in screening for oropharyngeal dysphagia (OD). 303 outpatients at risk of OD were recruited at three university hospitals: 162 men and 141 women with a mean age of 70\u00a0years. All data were retrieved by phone. To identify patients at risk of dysphagia, two different cut-off scores for the EAT-10 total score were retrieved from the literature. The diagnostic performance of the single question was determined by comparing dichotomized answers to the single question (no problems versus difficulties in swallowing) with the EAT-10 as reference test. Sensitivity, specificity, positive and negative predictive values ranged between 0.75-0.76, 0.75-0.84, 0.93-0.97 and 0.38-0.43, respectively. Mostly, the results of this exploratory study indicate a sufficient diagnostic performance of the single question in identifying patients who are at risk of dysphagia when using the EAT-10 questionnaire as a reference test. Further research, is, however, necessary to provide additional psychometric data on Functional Health Status (FHS) questionnaires including the single question using either FEES or VFS as gold standard or reference test.", "author" : [ { "dropping-particle" : "", "family" : "Heijnen", "given" : "Bas Joris", "non-dropping-particle" : "", "parse-names" : false, "suffix" : "" }, { "dropping-particle" : "", "family" : "Speyer", "given" : "Ren\u00e9e", "non-dropping-particle" : "", "parse-names" : false, "suffix" : "" }, { "dropping-particle" : "", "family" : "B\u00fclow", "given" : "Margareta", "non-dropping-particle" : "", "parse-names" : false, "suffix" : "" }, { "dropping-particle" : "", "family" : "Kuijpers", "given" : "Laura MF", "non-dropping-particle" : "", "parse-names" : false, "suffix" : "" } ], "container-title" : "Dysphagia", "id" : "ITEM-2", "issue" : "2", "issued" : { "date-parts" : [ [ "2016", "4", "11" ] ] }, "page" : "214-222", "title" : "\u2018What About Swallowing?\u2019 Diagnostic Performance of Daily Clinical Practice Compared with the Eating Assessment Tool-10", "type" : "article-journal", "volume" : "31" }, "uris" : [ "http://www.mendeley.com/documents/?uuid=a5894843-7685-396c-b75e-6567d4a985b4" ] }, { "id" : "ITEM-3", "itemData" : { "DOI" : "10.1097/BRS.0000000000001407", "ISBN" : "0000000000", "PMID" : "26679890", "author" : [ { "dropping-particle" : "", "family" : "Cancienne", "given" : "Jourdan M", "non-dropping-particle" : "", "parse-names" : false, "suffix" : "" }, { "dropping-particle" : "", "family" : "Werner", "given" : "Brian C", "non-dropping-particle" : "", "parse-names" : false, "suffix" : "" }, { "dropping-particle" : "", "family" : "Loeb", "given" : "Alex E", "non-dropping-particle" : "", "parse-names" : false, "suffix" : "" }, { "dropping-particle" : "", "family" : "Yang", "given" : "Scott S", "non-dropping-particle" : "", "parse-names" : false, "suffix" : "" }, { "dropping-particle" : "", "family" : "Hassanzadeh", "given" : "Hamid", "non-dropping-particle" : "", "parse-names" : false, "suffix" : "" }, { "dropping-particle" : "", "family" : "Singla", "given" : "Anuj", "non-dropping-particle" : "", "parse-names" : false, "suffix" : "" }, { "dropping-particle" : "", "family" : "Shen", "given" : "Frank H", "non-dropping-particle" : "", "parse-names" : false, "suffix" : "" }, { "dropping-particle" : "", "family" : "Shimer", "given" : "Adam L", "non-dropping-particle" : "", "parse-names" : false, "suffix" : "" } ], "container-title" : "Spine", "id" : "ITEM-3", "issue" : "13", "issued" : { "date-parts" : [ [ "2016" ] ] }, "page" : "1084-1088", "title" : "The Effect of Local Intraoperative Steroid", "type" : "article-journal", "volume" : "41" }, "uris" : [ "http://www.mendeley.com/documents/?uuid=6cb88169-26ae-4f18-b8c4-f2cab53aeb32", "http://www.mendeley.com/documents/?uuid=c0b1af6e-e419-40e7-afe3-699b14631675" ] }, { "id" : "ITEM-4", "itemData" : { "DOI" : "10.1097/BRS.0b013e31823a7a5b", "ISSN" : "0362-2436", "PMID" : "22037524", "abstract" : "STUDY DESIGN Prospective clinical validation study of questionnaire to assess dysphagia. OBJECTIVE To test validity and reliability of Dysphagia Short Questionnaire (DSQ), and also to determine levels of dysphagia over time after anterior cervical spine surgery (ACSS). SUMMARY OF BACKGROUND DATA Dysphagia is common after ACSS but reports on the incidence vary widely between 1% and 79%, indicating an evaluation problem. Several tools for evaluation of dysphagia exist but common features are that they are cumbersome to use and usually are designed for patients with neurological or malignant diseases in the neck region. Others are not validated, for example, the Bazaz score. There is, thus, a need for a more adapted tool to evaluate dysphagia in patients undergoing ACSS. METHODS The DSQ was constructed in collaboration with a group of ear-nose-and-throat specialists. In a first validation study, 45 patients with stationary dysphagia for various reasons completed the DSQ twice 2 weeks apart, the M.D. Anderson Dysphagia Inventory (MDADI), the Bazaz score, and a quality-of-life score, the EQ-5D. To evaluate the utility of the DSQ, a second validation study was performed, where 111 subjects undergoing ACSS for degenerative disk disease completed the form preoperatively and at 4 weeks, 3 months, and 1 year after surgery. RESULTS In the first study, the DSQ correlated to MDADI (r = 0.59) and showed good reproducibility. The Bazaz score did not correlate to the DSQ, the MDADI, or the EQ-5 D. In the second study, dysphagia was present in a few patients already preoperatively. At 4 weeks, 85% of the patients reported dysphagia. The level had dropped significantly at 3 months and had returned to baseline levels at 1 year. CONCLUSION We consider the DSQ to be a validated tool for the assessment of dysphagia in ACSS patients. Dysphagia after ACSS for cervical spondylosis is common but the symptoms on a group level are not very severe and are also temporary.", "author" : [ { "dropping-particle" : "", "family" : "Skeppholm", "given" : "Martin", "non-dropping-particle" : "", "parse-names" : false, "suffix" : "" }, { "dropping-particle" : "", "family" : "Ingebro", "given" : "Catarina", "non-dropping-particle" : "", "parse-names" : false, "suffix" : "" }, { "dropping-particle" : "", "family" : "Engstr\u00f6m", "given" : "Therese", "non-dropping-particle" : "", "parse-names" : false, "suffix" : "" }, { "dropping-particle" : "", "family" : "Olerud", "given" : "Claes", "non-dropping-particle" : "", "parse-names" : false, "suffix" : "" } ], "container-title" : "Spine", "id" : "ITEM-4", "issue" : "11", "issued" : { "date-parts" : [ [ "2012", "5", "15" ] ] }, "page" : "996-1002", "title" : "The Dysphagia Short Questionnaire", "type" : "article-journal", "volume" : "37" }, "uris" : [ "http://www.mendeley.com/documents/?uuid=75ba05b9-15d3-3887-8497-fb2b6923fd1a" ] } ], "mendeley" : { "formattedCitation" : "[6,12\u201314]", "plainTextFormattedCitation" : "[6,12\u201314]", "previouslyFormattedCitation" : "[6,12\u201314]" }, "properties" : { "noteIndex" : 0 }, "schema" : "https://github.com/citation-style-language/schema/raw/master/csl-citation.json" }</w:instrText>
      </w:r>
      <w:r w:rsidRPr="006E0D56">
        <w:fldChar w:fldCharType="separate"/>
      </w:r>
      <w:r w:rsidR="009F10AD" w:rsidRPr="009F10AD">
        <w:rPr>
          <w:noProof/>
        </w:rPr>
        <w:t>[6,12–14]</w:t>
      </w:r>
      <w:r w:rsidRPr="006E0D56">
        <w:fldChar w:fldCharType="end"/>
      </w:r>
      <w:r w:rsidRPr="006E0D56">
        <w:t xml:space="preserve">. </w:t>
      </w:r>
      <w:r w:rsidR="001A0F0E">
        <w:t>M</w:t>
      </w:r>
      <w:r w:rsidR="002E52CA">
        <w:t>ost</w:t>
      </w:r>
      <w:r w:rsidR="009F10AD">
        <w:t xml:space="preserve"> studies </w:t>
      </w:r>
      <w:r w:rsidR="00783BF4">
        <w:t>report that the majority of dysphagia related symptoms occur in the early phase of the recovery period, and gradually dissipate over time.</w:t>
      </w:r>
      <w:r w:rsidR="00D83CFC">
        <w:t xml:space="preserve"> Permeant dysphagia following ACDFs has been reported to occur</w:t>
      </w:r>
      <w:r w:rsidR="0068101D">
        <w:t xml:space="preserve"> </w:t>
      </w:r>
      <w:r w:rsidR="00D83CFC">
        <w:t>but is far less common.</w:t>
      </w:r>
      <w:r w:rsidR="004D0615">
        <w:t>[</w:t>
      </w:r>
      <w:r w:rsidR="009F10AD">
        <w:fldChar w:fldCharType="begin" w:fldLock="1"/>
      </w:r>
      <w:r w:rsidR="001A0F0E">
        <w:instrText>ADDIN CSL_CITATION { "citationItems" : [ { "id" : "ITEM-1", "itemData" : { "DOI" : "10.1007/s11999-010-1731-8", "author" : [ { "dropping-particle" : "", "family" : "Rihn", "given" : "Jeffrey A", "non-dropping-particle" : "", "parse-names" : false, "suffix" : "" }, { "dropping-particle" : "", "family" : "Kane", "given" : "Justin", "non-dropping-particle" : "", "parse-names" : false, "suffix" : "" }, { "dropping-particle" : "", "family" : "Albert", "given" : "Todd J", "non-dropping-particle" : "", "parse-names" : false, "suffix" : "" }, { "dropping-particle" : "", "family" : "Vaccaro", "given" : "Alexander R", "non-dropping-particle" : "", "parse-names" : false, "suffix" : "" }, { "dropping-particle" : "", "family" : "Hilibrand", "given" : "Alan S", "non-dropping-particle" : "", "parse-names" : false, "suffix" : "" } ], "id" : "ITEM-1", "issued" : { "date-parts" : [ [ "2011" ] ] }, "page" : "658-665", "title" : "What Is the Incidence and Severity of Dysphagia After Anterior Cervical Surgery ?", "type" : "article-journal" }, "uris" : [ "http://www.mendeley.com/documents/?uuid=2f999804-2a2e-4bcd-8008-1cfdaede1a67" ] }, { "id" : "ITEM-2", "itemData" : { "ISSN" : "1528-1159", "PMID" : "16284596", "abstract" : "STUDY DESIGN Retrospective analysis of the incidence and prevalence of dysphagia after anterior cervical decompression and fusion (ACDF). OBJECTIVES To examine the incidence and prevalence of dysphagia after ACDF, determine possible associated patient and procedural characteristics, and examine dysphagia's impact on long-term health status and function. SUMMARY OF BACKGROUND DATA Dysphagia is a common early complaint after ACDF, but the risk factors associated with its development are not understood. METHODS Telephone surveys (Cervical Spine Outcomes Questionnaire) and clinical assessments (Oswestry Neck Disability Scale and SF-36) were used to evaluate 454 patients who had undergone ACDF at one of 23 nationwide sites for individual and procedure characteristics that might contribute to dysphagia. RESULTS Of the 454 patients, 30% reported dysphagia at the 3-month assessment (incident cases). The incidence of new complaints of dysphagia at each follow-up point was 29.8%, 6.9%, and 6.6% at 3, 6, and 24 months, respectively. Dysphagia persisted at 6 and 24 months in 21.5% and 21.3% of patients, respectively. The risk of dysphagia increased with number of surgical vertebral levels at 3 months: 1 level, 42 of 212 (19.8%); 2 levels, 50 of 150 (33.3%); 3+ levels, 36 of 92 (39.1%). Patients reporting dysphagia at 3 months had a significantly higher self-reported disability and lower physical health status at subsequent assessments. CONCLUSION Duration of preexisting pain and the number of vertebral levels involved in the surgical procedure appear to influence the likelihood of dysphagia after ACDF.", "author" : [ { "dropping-particle" : "", "family" : "Riley", "given" : "Lee H", "non-dropping-particle" : "", "parse-names" : false, "suffix" : "" }, { "dropping-particle" : "", "family" : "Skolasky", "given" : "Richard L", "non-dropping-particle" : "", "parse-names" : false, "suffix" : "" }, { "dropping-particle" : "", "family" : "Albert", "given" : "Todd J", "non-dropping-particle" : "", "parse-names" : false, "suffix" : "" }, { "dropping-particle" : "", "family" : "Vaccaro", "given" : "Alexander R", "non-dropping-particle" : "", "parse-names" : false, "suffix" : "" }, { "dropping-particle" : "", "family" : "Heller", "given" : "John G", "non-dropping-particle" : "", "parse-names" : false, "suffix" : "" } ], "container-title" : "Spine", "id" : "ITEM-2", "issue" : "22", "issued" : { "date-parts" : [ [ "2005", "11", "15" ] ] }, "page" : "2564-9", "title" : "Dysphagia after anterior cervical decompression and fusion: prevalence and risk factors from a longitudinal cohort study.", "type" : "article-journal", "volume" : "30" }, "uris" : [ "http://www.mendeley.com/documents/?uuid=d3c74f59-2523-3cf7-9e6c-9749bfc90ac2" ] }, { "id" : "ITEM-3", "itemData" : { "DOI" : "10.14444/4009", "ISSN" : "22114599", "author" : [ { "dropping-particle" : "", "family" : "Adenikinju", "given" : "Abidemi S", "non-dropping-particle" : "", "parse-names" : false, "suffix" : "" }, { "dropping-particle" : "", "family" : "Halani", "given" : "Sameer H", "non-dropping-particle" : "", "parse-names" : false, "suffix" : "" }, { "dropping-particle" : "", "family" : "Rindler", "given" : "Rima S", "non-dropping-particle" : "", "parse-names" : false, "suffix" : "" }, { "dropping-particle" : "", "family" : "Gary", "given" : "Matthew F", "non-dropping-particle" : "", "parse-names" : false, "suffix" : "" }, { "dropping-particle" : "", "family" : "Michael", "given" : "Keith W", "non-dropping-particle" : "", "parse-names" : false, "suffix" : "" }, { "dropping-particle" : "", "family" : "Ahmad", "given" : "Faiz U", "non-dropping-particle" : "", "parse-names" : false, "suffix" : "" } ], "container-title" : "International Journal of Spine Surgery", "id" : "ITEM-3", "issue" : "2", "issued" : { "date-parts" : [ [ "2017" ] ] }, "page" : "59-69", "publisher" : "International Journal of Spine Surgery", "title" : "Effect of perioperative steroids on dysphagia after anterior cervical spine surgery : A systematic review", "type" : "article-journal", "volume" : "11" }, "uris" : [ "http://www.mendeley.com/documents/?uuid=b1a4f4f5-09fc-4d8c-bf51-119cf9b05e02" ] }, { "id" : "ITEM-4", "itemData" : { "DOI" : "10.1097/BRS.0000000000001293", "ISBN" : "0000000000", "author" : [ { "dropping-particle" : "", "family" : "Koreckij", "given" : "Theodore D", "non-dropping-particle" : "", "parse-names" : false, "suffix" : "" }, { "dropping-particle" : "", "family" : "Davidson", "given" : "Abigail A", "non-dropping-particle" : "", "parse-names" : false, "suffix" : "" }, { "dropping-particle" : "", "family" : "Baker", "given" : "Kevin C", "non-dropping-particle" : "", "parse-names" : false, "suffix" : "" }, { "dropping-particle" : "", "family" : "Park", "given" : "Daniel K", "non-dropping-particle" : "", "parse-names" : false, "suffix" : "" } ], "id" : "ITEM-4", "issue" : "9", "issued" : { "date-parts" : [ [ "2016" ] ] }, "page" : "530-534", "title" : "Retropharyngeal Steroids and Dysphagia Following Multilevel Anterior Cervical Surgery", "type" : "article-journal", "volume" : "41" }, "uris" : [ "http://www.mendeley.com/documents/?uuid=94d08d25-159b-43ae-8e2d-c558b4eb11b2" ] }, { "id" : "ITEM-5", "itemData" : { "DOI" : "10.1016/j.spinee.2012.03.024", "ISSN" : "1529-9430", "author" : [ { "dropping-particle" : "", "family" : "Kepler", "given" : "Christopher K", "non-dropping-particle" : "", "parse-names" : false, "suffix" : "" }, { "dropping-particle" : "", "family" : "Rihn", "given" : "Jeffrey A", "non-dropping-particle" : "", "parse-names" : false, "suffix" : "" }, { "dropping-particle" : "", "family" : "Bennett", "given" : "Jonathan D", "non-dropping-particle" : "", "parse-names" : false, "suffix" : "" }, { "dropping-particle" : "", "family" : "Anderson", "given" : "David G", "non-dropping-particle" : "", "parse-names" : false, "suffix" : "" }, { "dropping-particle" : "", "family" : "Vaccaro", "given" : "Alexander R", "non-dropping-particle" : "", "parse-names" : false, "suffix" : "" }, { "dropping-particle" : "", "family" : "Albert", "given" : "Todd J", "non-dropping-particle" : "", "parse-names" : false, "suffix" : "" }, { "dropping-particle" : "", "family" : "Hilibrand", "given" : "Alan S", "non-dropping-particle" : "", "parse-names" : false, "suffix" : "" } ], "container-title" : "The Spine Journal", "id" : "ITEM-5", "issue" : "8", "issued" : { "date-parts" : [ [ "2012" ] ] }, "page" : "639-644", "publisher" : "Elsevier Inc", "title" : "Dysphagia and soft-tissue swelling after anterior cervical surgery : a radiographic analysis", "type" : "article-journal", "volume" : "12" }, "uris" : [ "http://www.mendeley.com/documents/?uuid=5ebed746-2a52-4d52-8e15-aa49c2486e43" ] } ], "mendeley" : { "formattedCitation" : "[9,10,15\u201317]", "plainTextFormattedCitation" : "[9,10,15\u201317]", "previouslyFormattedCitation" : "[9,10,15\u201317]" }, "properties" : { "noteIndex" : 0 }, "schema" : "https://github.com/citation-style-language/schema/raw/master/csl-citation.json" }</w:instrText>
      </w:r>
      <w:r w:rsidR="009F10AD">
        <w:fldChar w:fldCharType="separate"/>
      </w:r>
      <w:r w:rsidR="001A0F0E" w:rsidRPr="001A0F0E">
        <w:rPr>
          <w:noProof/>
        </w:rPr>
        <w:t>[9,10,15–17]</w:t>
      </w:r>
      <w:r w:rsidR="009F10AD">
        <w:fldChar w:fldCharType="end"/>
      </w:r>
      <w:r w:rsidR="006E41FF">
        <w:t>.</w:t>
      </w:r>
      <w:r w:rsidR="007641DE">
        <w:t xml:space="preserve"> </w:t>
      </w:r>
      <w:r w:rsidR="006E41FF">
        <w:t>T</w:t>
      </w:r>
      <w:r w:rsidR="006E41FF" w:rsidRPr="006E0D56">
        <w:t xml:space="preserve">he </w:t>
      </w:r>
      <w:r w:rsidR="002E52CA">
        <w:t>divergence</w:t>
      </w:r>
      <w:r w:rsidR="002E52CA" w:rsidRPr="006E0D56">
        <w:t xml:space="preserve"> </w:t>
      </w:r>
      <w:r w:rsidRPr="006E0D56">
        <w:t>in literature is likely due to the method in which dysphagia and swallowing problems were assessed (prospective vs retrospective), assessment type (subjective vs</w:t>
      </w:r>
      <w:r w:rsidR="00BF29CF">
        <w:t>.</w:t>
      </w:r>
      <w:r w:rsidRPr="006E0D56">
        <w:t xml:space="preserve"> objective), type of questionnaires used (validated vs</w:t>
      </w:r>
      <w:r w:rsidR="00BF29CF">
        <w:t>.</w:t>
      </w:r>
      <w:r w:rsidRPr="006E0D56">
        <w:t xml:space="preserve"> non-validated, simple vs</w:t>
      </w:r>
      <w:r w:rsidR="00BF29CF">
        <w:t>.</w:t>
      </w:r>
      <w:r w:rsidRPr="006E0D56">
        <w:t xml:space="preserve"> in</w:t>
      </w:r>
      <w:r w:rsidR="00BF29CF">
        <w:t>-</w:t>
      </w:r>
      <w:r w:rsidRPr="006E0D56">
        <w:t xml:space="preserve"> depth), time period at </w:t>
      </w:r>
      <w:r w:rsidRPr="006E0D56">
        <w:lastRenderedPageBreak/>
        <w:t>which dysphagia was assessed (early vs</w:t>
      </w:r>
      <w:r w:rsidR="00BF29CF">
        <w:t>.</w:t>
      </w:r>
      <w:r w:rsidRPr="006E0D56">
        <w:t xml:space="preserve"> late in post-operative period), as well as the aforementioned surgical and patient factors.</w:t>
      </w:r>
      <w:r w:rsidRPr="006E0D56">
        <w:fldChar w:fldCharType="begin" w:fldLock="1"/>
      </w:r>
      <w:r w:rsidR="001A0F0E">
        <w:instrText>ADDIN CSL_CITATION { "citationItems" : [ { "id" : "ITEM-1", "itemData" : { "ISSN" : "0021-9355", "PMID" : "14960668", "abstract" : "BACKGROUND Retrospective clinical studies frequently utilize surgeon records as a source of outcomes data. The accuracy of data derived from surgeon records, however, is unknown. The purpose of the present study was to evaluate the accuracy of surgeon records in documenting the prevalence of subjective adverse outcomes. METHODS Consecutive patients who had undergone anterior cervical arthrodesis by four spine surgeons during a ten-month period were included. Surgeon records from the routine six-week, three-month, and six-month postoperative visits were examined for documentation of persistent dysphagia and dysphonia. Patients completed surveys inquiring about the presence and magnitude of symptoms at these three time-points. Agreement between the surgeon records and the patient surveys was analyzed with use of the kappa coefficient. RESULTS One hundred and sixty-six patients had 342 postoperative visits. Dysphagia was documented twenty-six times in the surgeon records, compared with 107 times on the patient surveys. Dysphagia was thus underreported in 80% of cases. Similarly, dysphonia was documented ten times in the surgeon records, compared with seventy-two times on the patient surveys. Poor correlation between the surgeon records and the patient surveys was observed regardless of symptom severity, previous anterior cervical surgery, anterior arthrodesis of three motion segments or more, arthrodesis cephalad to the fifth cervical level, and anterior cervical plate use. Poor correlation between the surgeon records and the patient surveys also was observed for each surgeon, regardless of subspecialty or institution. CONCLUSIONS Correlation between the surgeon records and the patient surveys was consistently poor, regardless of the specific patient and surgeon factor analyzed. While we chose to study dysphonia and dysphagia, it is conceivable that the results may be generalizable to many situations in which office notes are utilized to ascertain the prevalence of subjective adverse outcomes. These results suggest that the prevalence of such outcomes may be seriously underreported in studies that rely on the retrospective analysis of surgeon records.", "author" : [ { "dropping-particle" : "", "family" : "Edwards", "given" : "Charles C", "non-dropping-particle" : "", "parse-names" : false, "suffix" : "" }, { "dropping-particle" : "", "family" : "Karpitskaya", "given" : "Yekaterina", "non-dropping-particle" : "", "parse-names" : false, "suffix" : "" }, { "dropping-particle" : "", "family" : "Cha", "given" : "Chuck", "non-dropping-particle" : "", "parse-names" : false, "suffix" : "" }, { "dropping-particle" : "", "family" : "Heller", "given" : "John G", "non-dropping-particle" : "", "parse-names" : false, "suffix" : "" }, { "dropping-particle" : "", "family" : "Lauryssen", "given" : "Carl", "non-dropping-particle" : "", "parse-names" : false, "suffix" : "" }, { "dropping-particle" : "", "family" : "Yoon", "given" : "S Timothy", "non-dropping-particle" : "", "parse-names" : false, "suffix" : "" }, { "dropping-particle" : "", "family" : "Riew", "given" : "K Daniel", "non-dropping-particle" : "", "parse-names" : false, "suffix" : "" } ], "container-title" : "The Journal of bone and joint surgery. American volume", "id" : "ITEM-1", "issue" : "2", "issued" : { "date-parts" : [ [ "2004", "2" ] ] }, "page" : "251-6", "title" : "Accurate identification of adverse outcomes after cervical spine surgery.", "type" : "article-journal", "volume" : "86-A" }, "uris" : [ "http://www.mendeley.com/documents/?uuid=95c44346-6aa5-39d9-afc2-0ccc634fc665" ] }, { "id" : "ITEM-2", "itemData" : { "author" : [ { "dropping-particle" : "", "family" : "Rosenthal", "given" : "Brett D", "non-dropping-particle" : "", "parse-names" : false, "suffix" : "" }, { "dropping-particle" : "", "family" : "Nair", "given" : "Rueben", "non-dropping-particle" : "", "parse-names" : false, "suffix" : "" }, { "dropping-particle" : "", "family" : "Hsu", "given" : "Wellington K", "non-dropping-particle" : "", "parse-names" : false, "suffix" : "" }, { "dropping-particle" : "", "family" : "Patel", "given" : "Alpesh A", "non-dropping-particle" : "", "parse-names" : false, "suffix" : "" }, { "dropping-particle" : "", "family" : "Savage", "given" : "Jason W", "non-dropping-particle" : "", "parse-names" : false, "suffix" : "" } ], "id" : "ITEM-2", "issue" : "9", "issued" : { "date-parts" : [ [ "2016" ] ] }, "page" : "363-367", "title" : "Dysphagia and Dysphonia Assessment Tools After Anterior Cervical Spine Surgery", "type" : "article-journal", "volume" : "29" }, "uris" : [ "http://www.mendeley.com/documents/?uuid=67e2fdf9-7b71-4155-a1ee-473147012fb1" ] }, { "id" : "ITEM-3", "itemData" : { "author" : [ { "dropping-particle" : "", "family" : "Anderson", "given" : "Karen K", "non-dropping-particle" : "", "parse-names" : false, "suffix" : "" }, { "dropping-particle" : "", "family" : "Arnold", "given" : "Paul M", "non-dropping-particle" : "", "parse-names" : false, "suffix" : "" } ], "id" : "ITEM-3", "issued" : { "date-parts" : [ [ "2013" ] ] }, "title" : "Oropharyngeal Dysphagia after Anterior Cervical Spine Surgery : A Review", "type" : "article-journal" }, "uris" : [ "http://www.mendeley.com/documents/?uuid=8923197a-3f69-443b-93a5-d3d259e90ecd" ] }, { "id" : "ITEM-4", "itemData" : { "DOI" : "10.1097/BRS.0b013e31823a7a5b", "ISSN" : "0362-2436", "PMID" : "22037524", "abstract" : "STUDY DESIGN Prospective clinical validation study of questionnaire to assess dysphagia. OBJECTIVE To test validity and reliability of Dysphagia Short Questionnaire (DSQ), and also to determine levels of dysphagia over time after anterior cervical spine surgery (ACSS). SUMMARY OF BACKGROUND DATA Dysphagia is common after ACSS but reports on the incidence vary widely between 1% and 79%, indicating an evaluation problem. Several tools for evaluation of dysphagia exist but common features are that they are cumbersome to use and usually are designed for patients with neurological or malignant diseases in the neck region. Others are not validated, for example, the Bazaz score. There is, thus, a need for a more adapted tool to evaluate dysphagia in patients undergoing ACSS. METHODS The DSQ was constructed in collaboration with a group of ear-nose-and-throat specialists. In a first validation study, 45 patients with stationary dysphagia for various reasons completed the DSQ twice 2 weeks apart, the M.D. Anderson Dysphagia Inventory (MDADI), the Bazaz score, and a quality-of-life score, the EQ-5D. To evaluate the utility of the DSQ, a second validation study was performed, where 111 subjects undergoing ACSS for degenerative disk disease completed the form preoperatively and at 4 weeks, 3 months, and 1 year after surgery. RESULTS In the first study, the DSQ correlated to MDADI (r = 0.59) and showed good reproducibility. The Bazaz score did not correlate to the DSQ, the MDADI, or the EQ-5 D. In the second study, dysphagia was present in a few patients already preoperatively. At 4 weeks, 85% of the patients reported dysphagia. The level had dropped significantly at 3 months and had returned to baseline levels at 1 year. CONCLUSION We consider the DSQ to be a validated tool for the assessment of dysphagia in ACSS patients. Dysphagia after ACSS for cervical spondylosis is common but the symptoms on a group level are not very severe and are also temporary.", "author" : [ { "dropping-particle" : "", "family" : "Skeppholm", "given" : "Martin", "non-dropping-particle" : "", "parse-names" : false, "suffix" : "" }, { "dropping-particle" : "", "family" : "Ingebro", "given" : "Catarina", "non-dropping-particle" : "", "parse-names" : false, "suffix" : "" }, { "dropping-particle" : "", "family" : "Engstr\u00f6m", "given" : "Therese", "non-dropping-particle" : "", "parse-names" : false, "suffix" : "" }, { "dropping-particle" : "", "family" : "Olerud", "given" : "Claes", "non-dropping-particle" : "", "parse-names" : false, "suffix" : "" } ], "container-title" : "Spine", "id" : "ITEM-4", "issue" : "11", "issued" : { "date-parts" : [ [ "2012", "5", "15" ] ] }, "page" : "996-1002", "title" : "The Dysphagia Short Questionnaire", "type" : "article-journal", "volume" : "37" }, "uris" : [ "http://www.mendeley.com/documents/?uuid=75ba05b9-15d3-3887-8497-fb2b6923fd1a" ] }, { "id" : "ITEM-5", "itemData" : { "DOI" : "10.1097/BRS.0000000000001293", "ISBN" : "0000000000", "author" : [ { "dropping-particle" : "", "family" : "Koreckij", "given" : "Theodore D", "non-dropping-particle" : "", "parse-names" : false, "suffix" : "" }, { "dropping-particle" : "", "family" : "Davidson", "given" : "Abigail A", "non-dropping-particle" : "", "parse-names" : false, "suffix" : "" }, { "dropping-particle" : "", "family" : "Baker", "given" : "Kevin C", "non-dropping-particle" : "", "parse-names" : false, "suffix" : "" }, { "dropping-particle" : "", "family" : "Park", "given" : "Daniel K", "non-dropping-particle" : "", "parse-names" : false, "suffix" : "" } ], "id" : "ITEM-5", "issue" : "9", "issued" : { "date-parts" : [ [ "2016" ] ] }, "page" : "530-534", "title" : "Retropharyngeal Steroids and Dysphagia Following Multilevel Anterior Cervical Surgery", "type" : "article-journal", "volume" : "41" }, "uris" : [ "http://www.mendeley.com/documents/?uuid=94d08d25-159b-43ae-8e2d-c558b4eb11b2" ] }, { "id" : "ITEM-6", "itemData" : { "ISSN" : "1528-1159", "PMID" : "16284596", "abstract" : "STUDY DESIGN Retrospective analysis of the incidence and prevalence of dysphagia after anterior cervical decompression and fusion (ACDF). OBJECTIVES To examine the incidence and prevalence of dysphagia after ACDF, determine possible associated patient and procedural characteristics, and examine dysphagia's impact on long-term health status and function. SUMMARY OF BACKGROUND DATA Dysphagia is a common early complaint after ACDF, but the risk factors associated with its development are not understood. METHODS Telephone surveys (Cervical Spine Outcomes Questionnaire) and clinical assessments (Oswestry Neck Disability Scale and SF-36) were used to evaluate 454 patients who had undergone ACDF at one of 23 nationwide sites for individual and procedure characteristics that might contribute to dysphagia. RESULTS Of the 454 patients, 30% reported dysphagia at the 3-month assessment (incident cases). The incidence of new complaints of dysphagia at each follow-up point was 29.8%, 6.9%, and 6.6% at 3, 6, and 24 months, respectively. Dysphagia persisted at 6 and 24 months in 21.5% and 21.3% of patients, respectively. The risk of dysphagia increased with number of surgical vertebral levels at 3 months: 1 level, 42 of 212 (19.8%); 2 levels, 50 of 150 (33.3%); 3+ levels, 36 of 92 (39.1%). Patients reporting dysphagia at 3 months had a significantly higher self-reported disability and lower physical health status at subsequent assessments. CONCLUSION Duration of preexisting pain and the number of vertebral levels involved in the surgical procedure appear to influence the likelihood of dysphagia after ACDF.", "author" : [ { "dropping-particle" : "", "family" : "Riley", "given" : "Lee H", "non-dropping-particle" : "", "parse-names" : false, "suffix" : "" }, { "dropping-particle" : "", "family" : "Skolasky", "given" : "Richard L", "non-dropping-particle" : "", "parse-names" : false, "suffix" : "" }, { "dropping-particle" : "", "family" : "Albert", "given" : "Todd J", "non-dropping-particle" : "", "parse-names" : false, "suffix" : "" }, { "dropping-particle" : "", "family" : "Vaccaro", "given" : "Alexander R", "non-dropping-particle" : "", "parse-names" : false, "suffix" : "" }, { "dropping-particle" : "", "family" : "Heller", "given" : "John G", "non-dropping-particle" : "", "parse-names" : false, "suffix" : "" } ], "container-title" : "Spine", "id" : "ITEM-6", "issue" : "22", "issued" : { "date-parts" : [ [ "2005", "11", "15" ] ] }, "page" : "2564-9", "title" : "Dysphagia after anterior cervical decompression and fusion: prevalence and risk factors from a longitudinal cohort study.", "type" : "article-journal", "volume" : "30" }, "uris" : [ "http://www.mendeley.com/documents/?uuid=d3c74f59-2523-3cf7-9e6c-9749bfc90ac2" ] } ], "mendeley" : { "formattedCitation" : "[1,6,7,9,10,18]", "plainTextFormattedCitation" : "[1,6,7,9,10,18]", "previouslyFormattedCitation" : "[1,6,7,9,10,18]" }, "properties" : { "noteIndex" : 0 }, "schema" : "https://github.com/citation-style-language/schema/raw/master/csl-citation.json" }</w:instrText>
      </w:r>
      <w:r w:rsidRPr="006E0D56">
        <w:fldChar w:fldCharType="separate"/>
      </w:r>
      <w:r w:rsidR="001A0F0E" w:rsidRPr="001A0F0E">
        <w:rPr>
          <w:noProof/>
        </w:rPr>
        <w:t>[1,6,7,9,10,18]</w:t>
      </w:r>
      <w:r w:rsidRPr="006E0D56">
        <w:fldChar w:fldCharType="end"/>
      </w:r>
      <w:r w:rsidRPr="006E0D56">
        <w:t xml:space="preserve">  </w:t>
      </w:r>
    </w:p>
    <w:p w14:paraId="41820A4C" w14:textId="544674DB" w:rsidR="003F0050" w:rsidRDefault="006E0D56" w:rsidP="003F0050">
      <w:r w:rsidRPr="006E0D56">
        <w:t>Corticosteroids have been utilized as an intervention to reduce soft tissue swelling in the anterior aspect of the neck in the critical care, ENT, and anesthesiology literature.</w:t>
      </w:r>
      <w:r w:rsidRPr="006E0D56">
        <w:fldChar w:fldCharType="begin" w:fldLock="1"/>
      </w:r>
      <w:r w:rsidR="00A05D51">
        <w:instrText>ADDIN CSL_CITATION { "citationItems" : [ { "id" : "ITEM-1", "itemData" : { "DOI" : "10.3171/2014.12.SPINE14477.Disclosure", "author" : [ { "dropping-particle" : "", "family" : "Jeyamohan", "given" : "Shiveindra B", "non-dropping-particle" : "", "parse-names" : false, "suffix" : "" }, { "dropping-particle" : "", "family" : "Kenning", "given" : "Tyler J", "non-dropping-particle" : "", "parse-names" : false, "suffix" : "" }, { "dropping-particle" : "", "family" : "Petronis", "given" : "Karen A", "non-dropping-particle" : "", "parse-names" : false, "suffix" : "" }, { "dropping-particle" : "", "family" : "Feustel", "given" : "Paul J", "non-dropping-particle" : "", "parse-names" : false, "suffix" : "" }, { "dropping-particle" : "", "family" : "Drazin", "given" : "Doniel", "non-dropping-particle" : "", "parse-names" : false, "suffix" : "" }, { "dropping-particle" : "", "family" : "Dirisio", "given" : "Darryl J", "non-dropping-particle" : "", "parse-names" : false, "suffix" : "" } ], "id" : "ITEM-1", "issue" : "August", "issued" : { "date-parts" : [ [ "2015" ] ] }, "page" : "137-143", "title" : "Effect of steroid use in anterior cervical discectomy and fusion: a randomized controlled trial", "type" : "article-journal", "volume" : "23" }, "uris" : [ "http://www.mendeley.com/documents/?uuid=7c36d5fe-b0b7-4b3e-88e2-b1d45cd89f20" ] } ], "mendeley" : { "formattedCitation" : "[5]", "plainTextFormattedCitation" : "[5]", "previouslyFormattedCitation" : "[5]" }, "properties" : { "noteIndex" : 0 }, "schema" : "https://github.com/citation-style-language/schema/raw/master/csl-citation.json" }</w:instrText>
      </w:r>
      <w:r w:rsidRPr="006E0D56">
        <w:fldChar w:fldCharType="separate"/>
      </w:r>
      <w:r w:rsidR="00F94000" w:rsidRPr="00F94000">
        <w:rPr>
          <w:noProof/>
        </w:rPr>
        <w:t>[5]</w:t>
      </w:r>
      <w:r w:rsidRPr="006E0D56">
        <w:fldChar w:fldCharType="end"/>
      </w:r>
      <w:r w:rsidRPr="006E0D56">
        <w:t xml:space="preserve"> In recent years, </w:t>
      </w:r>
      <w:r w:rsidR="00DD29EC">
        <w:t xml:space="preserve"> several</w:t>
      </w:r>
      <w:r w:rsidRPr="006E0D56">
        <w:t xml:space="preserve"> studies have investigated the efficacy of local and systemic steroids in preventing post-operative dysphagia.</w:t>
      </w:r>
      <w:r w:rsidRPr="006E0D56">
        <w:fldChar w:fldCharType="begin" w:fldLock="1"/>
      </w:r>
      <w:r w:rsidR="001A0F0E">
        <w:instrText>ADDIN CSL_CITATION { "citationItems" : [ { "id" : "ITEM-1", "itemData" : { "DOI" : "10.1016/j.spinee.2014.06.005", "ISSN" : "1529-9430", "author" : [ { "dropping-particle" : "", "family" : "Song", "given" : "Kyung-jin", "non-dropping-particle" : "", "parse-names" : false, "suffix" : "" }, { "dropping-particle" : "", "family" : "Lee", "given" : "Su-kyung", "non-dropping-particle" : "", "parse-names" : false, "suffix" : "" }, { "dropping-particle" : "", "family" : "Ko", "given" : "Jong-hyun", "non-dropping-particle" : "", "parse-names" : false, "suffix" : "" }, { "dropping-particle" : "", "family" : "Yoo", "given" : "Myung-jae", "non-dropping-particle" : "", "parse-names" : false, "suffix" : "" }, { "dropping-particle" : "", "family" : "Kim", "given" : "Do-yeon", "non-dropping-particle" : "", "parse-names" : false, "suffix" : "" }, { "dropping-particle" : "", "family" : "Lee", "given" : "Kwang-bok", "non-dropping-particle" : "", "parse-names" : false, "suffix" : "" } ], "container-title" : "The Spine Journal", "id" : "ITEM-1", "issue" : "12", "issued" : { "date-parts" : [ [ "2014" ] ] }, "page" : "2954-2958", "publisher" : "Elsevier Inc", "title" : "The clinical efficacy of short-term steroid treatment in multilevel anterior cervical arthrodesis", "type" : "article-journal", "volume" : "14" }, "uris" : [ "http://www.mendeley.com/documents/?uuid=bf44fb5c-c3fe-45bd-997c-b9cba19cc9e2" ] }, { "id" : "ITEM-2", "itemData" : { "DOI" : "10.1007/s00586-002-0495-6", "ISSN" : "0940-6719", "PMID" : "12592551", "abstract" : "Cervical spinal surgery through anterior approaches can lead to ear, nose and throat (ENT) complications, some of which, such as obstruction of upper airways by edema, are potentially life threatening. The purpose of this study was to evaluate the incidence of various categories of ENT lesions and to determine whether preventive treatment with methylprednisolone (Mp) is useful in this indication. In a prospective trial, 236 patients who were undergoing anterior cervical spine surgery were separated into two groups, a control group (group I: 158 patients) and a group receiving 1 mg/kg of Mp intravenously at the end of the operation and 12 and 24 h later (group II: 78 patients). All 236 patients underwent nasofibroscopic examination by an ENT specialist the day before the operation and 24 and 36 h after the operation. The lesions observed during these examinations and reported symptoms such as uncomfortable sensation, odynophagia, or dysphagia were compared between the two groups (chi(2) or Mann-Whitney test) in terms of relative risk, with a confidence interval of 95%. Quantitative findings were compared using Student's t-test ( P&lt;0.05). Demographic characteristics and duration of endotracheal intubation were comparable in the two groups. The ENT examination was considered abnormal in 30 patients of group I and 15 patients of group II preoperatively (NS). It was abnormal in 146 patients of group I (92%) and 46 patients of group II (59%) postoperatively. Altered vocal cord motility was noted in six patients of group I and two patients of group II. The relative risk was 1.6 (CI: 1.3-1.9). Postoperatively, 130 patients in group I and 56 of group II (NS) reported unwanted symptoms. The observed lesions were significantly more severe in group I ( P&lt;0.001), involving primarily the pharyngeal wall, the arytenoids, and the vocal cords. The results of this study indicate that ENT complications of anterior cervical spinal surgery are diminished by administration of Mp. Systematic ENT examination is warranted before this type of operation.", "author" : [ { "dropping-particle" : "", "family" : "Pedram", "given" : "M", "non-dropping-particle" : "", "parse-names" : false, "suffix" : "" }, { "dropping-particle" : "", "family" : "Castagnera", "given" : "L", "non-dropping-particle" : "", "parse-names" : false, "suffix" : "" }, { "dropping-particle" : "", "family" : "Carat", "given" : "X", "non-dropping-particle" : "", "parse-names" : false, "suffix" : "" }, { "dropping-particle" : "", "family" : "Macouillard", "given" : "G", "non-dropping-particle" : "", "parse-names" : false, "suffix" : "" }, { "dropping-particle" : "", "family" : "Vital", "given" : "J-M", "non-dropping-particle" : "", "parse-names" : false, "suffix" : "" } ], "container-title" : "European spine journal : official publication of the European Spine Society, the European Spinal Deformity Society, and the European Section of the Cervical Spine Research Society", "id" : "ITEM-2", "issue" : "1", "issued" : { "date-parts" : [ [ "2003", "2" ] ] }, "page" : "84-90", "title" : "Pharyngolaryngeal lesions in patients undergoing cervical spine surgery through the anterior approach: contribution of methylprednisolone.", "type" : "article-journal", "volume" : "12" }, "uris" : [ "http://www.mendeley.com/documents/?uuid=5bda2ae6-5ded-3ad6-a72d-f96d554565dc" ] }, { "id" : "ITEM-3", "itemData" : { "ISSN" : "0001-6462", "PMID" : "23821974", "abstract" : "The authors compared the effect of postoperative administration of corticosteroids (dexamethasone) on prevertebral soft tissue swelling with that of placebo in patients with anterior cervical discectomy and fusion (ACDF). Sixty-two consecutive patients with degenerative disc disease of the cervical spine, who underwent a one level ACDF, were examined prospectively. They were assigned randomly to 3 treatment groups. Group 1 received 10/5/5 mg, immediately postoperatively and on day 1 and 2, group 2 received 20/10/10 mg, and group 3 received placebo (normal saline). Plain lateral radiographs in the supine position were taken preoperatively, immediately postoperatively, and then daily for 5 days after the operation. The area of the prevertebral soft tissue density was measured from the lower border of C1 to the upper end plate of C7 on the lateral radiographs, using a PACS digital measuring instrument. The patients were also asked to evaluate dyspnea and dysphagia, using a 10-point visual analog scale (VAS). The 3 groups did not differ statistically with regard to the area of prevertebral soft tissue density and VAS for dysphagia, at any time. However, group 1 and 2 showed significant reduction in VAS for dyspnea, compared to group 3, immediately postoperatively, on day 1 and day 2. Group 1 and 2 showed no significant difference of VAS for dyspnea on any postoperative day, suggesting that the dose played no role. As a conclusion, steroids are not effective in reducing postoperative prevertebral soft tissue density, but might reduce initial dyspnea.", "author" : [ { "dropping-particle" : "", "family" : "Nam", "given" : "Tae Wook", "non-dropping-particle" : "", "parse-names" : false, "suffix" : "" }, { "dropping-particle" : "", "family" : "Lee", "given" : "Dong Ho", "non-dropping-particle" : "", "parse-names" : false, "suffix" : "" }, { "dropping-particle" : "", "family" : "Shin", "given" : "Jong Ki", "non-dropping-particle" : "", "parse-names" : false, "suffix" : "" }, { "dropping-particle" : "", "family" : "Goh", "given" : "Tae Sik", "non-dropping-particle" : "", "parse-names" : false, "suffix" : "" }, { "dropping-particle" : "", "family" : "Lee", "given" : "Jung Sub", "non-dropping-particle" : "", "parse-names" : false, "suffix" : "" } ], "container-title" : "Acta orthopaedica Belgica", "id" : "ITEM-3", "issue" : "2", "issued" : { "date-parts" : [ [ "2013", "4" ] ] }, "page" : "211-5", "title" : "Effect of intravenous dexamethasone on prevertebral soft tissue swelling after anterior cervical discectomy and fusion.", "type" : "article-journal", "volume" : "79" }, "uris" : [ "http://www.mendeley.com/documents/?uuid=bb55ba36-152d-3160-b885-b6480db4a8ba" ] }, { "id" : "ITEM-4", "itemData" : { "DOI" : "10.14444/4009", "ISSN" : "22114599", "author" : [ { "dropping-particle" : "", "family" : "Adenikinju", "given" : "Abidemi S", "non-dropping-particle" : "", "parse-names" : false, "suffix" : "" }, { "dropping-particle" : "", "family" : "Halani", "given" : "Sameer H", "non-dropping-particle" : "", "parse-names" : false, "suffix" : "" }, { "dropping-particle" : "", "family" : "Rindler", "given" : "Rima S", "non-dropping-particle" : "", "parse-names" : false, "suffix" : "" }, { "dropping-particle" : "", "family" : "Gary", "given" : "Matthew F", "non-dropping-particle" : "", "parse-names" : false, "suffix" : "" }, { "dropping-particle" : "", "family" : "Michael", "given" : "Keith W", "non-dropping-particle" : "", "parse-names" : false, "suffix" : "" }, { "dropping-particle" : "", "family" : "Ahmad", "given" : "Faiz U", "non-dropping-particle" : "", "parse-names" : false, "suffix" : "" } ], "container-title" : "International Journal of Spine Surgery", "id" : "ITEM-4", "issue" : "2", "issued" : { "date-parts" : [ [ "2017" ] ] }, "page" : "59-69", "publisher" : "International Journal of Spine Surgery", "title" : "Effect of perioperative steroids on dysphagia after anterior cervical spine surgery : A systematic review", "type" : "article-journal", "volume" : "11" }, "uris" : [ "http://www.mendeley.com/documents/?uuid=b1a4f4f5-09fc-4d8c-bf51-119cf9b05e02", "http://www.mendeley.com/documents/?uuid=b91158cd-13cc-4d75-a836-be2f3b74d53f" ] }, { "id" : "ITEM-5", "itemData" : { "DOI" : "10.1097/BRS.0000000000001407", "ISBN" : "0000000000", "PMID" : "26679890", "author" : [ { "dropping-particle" : "", "family" : "Cancienne", "given" : "Jourdan M", "non-dropping-particle" : "", "parse-names" : false, "suffix" : "" }, { "dropping-particle" : "", "family" : "Werner", "given" : "Brian C", "non-dropping-particle" : "", "parse-names" : false, "suffix" : "" }, { "dropping-particle" : "", "family" : "Loeb", "given" : "Alex E", "non-dropping-particle" : "", "parse-names" : false, "suffix" : "" }, { "dropping-particle" : "", "family" : "Yang", "given" : "Scott S", "non-dropping-particle" : "", "parse-names" : false, "suffix" : "" }, { "dropping-particle" : "", "family" : "Hassanzadeh", "given" : "Hamid", "non-dropping-particle" : "", "parse-names" : false, "suffix" : "" }, { "dropping-particle" : "", "family" : "Singla", "given" : "Anuj", "non-dropping-particle" : "", "parse-names" : false, "suffix" : "" }, { "dropping-particle" : "", "family" : "Shen", "given" : "Frank H", "non-dropping-particle" : "", "parse-names" : false, "suffix" : "" }, { "dropping-particle" : "", "family" : "Shimer", "given" : "Adam L", "non-dropping-particle" : "", "parse-names" : false, "suffix" : "" } ], "container-title" : "Spine", "id" : "ITEM-5", "issue" : "13", "issued" : { "date-parts" : [ [ "2016" ] ] }, "page" : "1084-1088", "title" : "The Effect of Local Intraoperative Steroid", "type" : "article-journal", "volume" : "41" }, "uris" : [ "http://www.mendeley.com/documents/?uuid=c0b1af6e-e419-40e7-afe3-699b14631675", "http://www.mendeley.com/documents/?uuid=6cb88169-26ae-4f18-b8c4-f2cab53aeb32", "http://www.mendeley.com/documents/?uuid=5ea90e40-36e6-4cc5-9a43-80a539bf5080" ] }, { "id" : "ITEM-6", "itemData" : { "DOI" : "10.1097/BRS.0b013e318237e5d0", "ISSN" : "0362-2436", "PMID" : "22020609", "abstract" : "STUDY DESIGN A prospective, randomized study. OBJECTIVE To analyze the effect of local retropharyngeal steroid to reduce prevertebral soft tissue swelling (PSTS) after anterior cervical discectomy and fusion (ACDF). SUMMARY OF BACKGROUND DATA There have been several reports on intravenous corticosteroid to prevent airway complication without a consensus; however, there have been no reports to date that have discussed the use of local steroids to reduce PSTS. METHODS Fifty cases that underwent ACDF involving 1 or 2 segments were enrolled. The mean follow-up period was 22 months. Of the 25 cases randomly selected as the steroid group, a mixture of triamcinolone and morcellized collagen sponge was applied to the retropharyngeal space before wound closure. For the control group, the other 25 cases received the operation without steroid. We measured the PSTS ratio to vertebral body from C3 to 7 and PSTS index (PSTSI; mean of PSTS ratio at C3, 4, and 5) on cervical spine. Simple lateral radiographs were taken preoperatively, immediately after operation, and at postoperative 2 days, 4 days, 2 weeks, and the last follow-up. The changes in odynophagia, radiological union, Neck Disability Index were analyzed. RESULTS The PSTS ratio of the steroid group was significantly lower on C3 and C4 immediately after operation, on C3, 4, 5 and C6 at postoperative 2 days, on C3, 4, and 5 at 4 days. The differences of PSTSI (the steroid: control group) maintained at 58.2: 74.3% (P = 0.004) immediately after operation, 57.9: 84.1% (P = 0.000) at 2 days, 56.3: 82.9% (P = 0.000) at 4 days, and 44.9: 51.4% (P = 0.037) at 2 weeks. The mean Visual Analogue Scale for odynophagia was significantly lower in the steroid group until postoperative 2 weeks. The last follow-up showed no significant difference in the radiological and clinical outcome. CONCLUSION Using the retropharyngeal local steroid, we significantly reduced PSTS and odynophagia following ACDF without additional complication. This method may be considered a simple and effective method to decrease PSTS following anterior cervical spine surgery.", "author" : [ { "dropping-particle" : "", "family" : "Lee", "given" : "Sang-Hun", "non-dropping-particle" : "", "parse-names" : false, "suffix" : "" }, { "dropping-particle" : "", "family" : "Kim", "given" : "Ki-Tack", "non-dropping-particle" : "", "parse-names" : false, "suffix" : "" }, { "dropping-particle" : "", "family" : "Suk", "given" : "Kyung-Soo", "non-dropping-particle" : "", "parse-names" : false, "suffix" : "" }, { "dropping-particle" : "", "family" : "Park", "given" : "Kyoung-Jun", "non-dropping-particle" : "", "parse-names" : false, "suffix" : "" }, { "dropping-particle" : "", "family" : "Oh", "given" : "Kyung-Il", "non-dropping-particle" : "", "parse-names" : false, "suffix" : "" } ], "container-title" : "Spine", "id" : "ITEM-6", "issue" : "26", "issued" : { "date-parts" : [ [ "2011", "12", "15" ] ] }, "page" : "2286-2292", "title" : "Effect of Retropharyngeal Steroid on Prevertebral Soft Tissue Swelling Following Anterior Cervical Discectomy and Fusion", "type" : "article-journal", "volume" : "36" }, "uris" : [ "http://www.mendeley.com/documents/?uuid=66724300-6b5a-3e74-a532-1919bfe4364e" ] }, { "id" : "ITEM-7", "itemData" : { "DOI" : "10.3171/2014.12.SPINE14477.Disclosure", "author" : [ { "dropping-particle" : "", "family" : "Jeyamohan", "given" : "Shiveindra B", "non-dropping-particle" : "", "parse-names" : false, "suffix" : "" }, { "dropping-particle" : "", "family" : "Kenning", "given" : "Tyler J", "non-dropping-particle" : "", "parse-names" : false, "suffix" : "" }, { "dropping-particle" : "", "family" : "Petronis", "given" : "Karen A", "non-dropping-particle" : "", "parse-names" : false, "suffix" : "" }, { "dropping-particle" : "", "family" : "Feustel", "given" : "Paul J", "non-dropping-particle" : "", "parse-names" : false, "suffix" : "" }, { "dropping-particle" : "", "family" : "Drazin", "given" : "Doniel", "non-dropping-particle" : "", "parse-names" : false, "suffix" : "" }, { "dropping-particle" : "", "family" : "Dirisio", "given" : "Darryl J", "non-dropping-particle" : "", "parse-names" : false, "suffix" : "" } ], "id" : "ITEM-7", "issue" : "August", "issued" : { "date-parts" : [ [ "2015" ] ] }, "page" : "137-143", "title" : "Effect of steroid use in anterior cervical discectomy and fusion: a randomized controlled trial", "type" : "article-journal", "volume" : "23" }, "uris" : [ "http://www.mendeley.com/documents/?uuid=7c36d5fe-b0b7-4b3e-88e2-b1d45cd89f20" ] }, { "id" : "ITEM-8", "itemData" : { "DOI" : "10.1097/BRS.0000000000001293", "ISBN" : "0000000000", "author" : [ { "dropping-particle" : "", "family" : "Koreckij", "given" : "Theodore D", "non-dropping-particle" : "", "parse-names" : false, "suffix" : "" }, { "dropping-particle" : "", "family" : "Davidson", "given" : "Abigail A", "non-dropping-particle" : "", "parse-names" : false, "suffix" : "" }, { "dropping-particle" : "", "family" : "Baker", "given" : "Kevin C", "non-dropping-particle" : "", "parse-names" : false, "suffix" : "" }, { "dropping-particle" : "", "family" : "Park", "given" : "Daniel K", "non-dropping-particle" : "", "parse-names" : false, "suffix" : "" } ], "id" : "ITEM-8", "issue" : "9", "issued" : { "date-parts" : [ [ "2016" ] ] }, "page" : "530-534", "title" : "Retropharyngeal Steroids and Dysphagia Following Multilevel Anterior Cervical Surgery", "type" : "article-journal", "volume" : "41" }, "uris" : [ "http://www.mendeley.com/documents/?uuid=94d08d25-159b-43ae-8e2d-c558b4eb11b2" ] } ], "mendeley" : { "formattedCitation" : "[5,9,11,14,19\u201321,16]", "plainTextFormattedCitation" : "[5,9,11,14,19\u201321,16]", "previouslyFormattedCitation" : "[5,9,11,14,19\u201321,16]" }, "properties" : { "noteIndex" : 0 }, "schema" : "https://github.com/citation-style-language/schema/raw/master/csl-citation.json" }</w:instrText>
      </w:r>
      <w:r w:rsidRPr="006E0D56">
        <w:fldChar w:fldCharType="separate"/>
      </w:r>
      <w:r w:rsidR="001A0F0E" w:rsidRPr="001A0F0E">
        <w:rPr>
          <w:noProof/>
        </w:rPr>
        <w:t>[5,9,11,14,19–21,16]</w:t>
      </w:r>
      <w:r w:rsidRPr="006E0D56">
        <w:fldChar w:fldCharType="end"/>
      </w:r>
      <w:r w:rsidRPr="006E0D56">
        <w:t xml:space="preserve"> The majority of studies </w:t>
      </w:r>
      <w:r w:rsidR="002E52CA">
        <w:t xml:space="preserve">investigating the use of </w:t>
      </w:r>
      <w:r w:rsidRPr="00494555">
        <w:rPr>
          <w:b/>
        </w:rPr>
        <w:t>systemic steroids</w:t>
      </w:r>
      <w:r w:rsidRPr="006E0D56">
        <w:t xml:space="preserve"> in the perioperative period have found that they were effective in reducing the incidence and severity of post-operative swallowing problems</w:t>
      </w:r>
      <w:r w:rsidRPr="006E0D56">
        <w:fldChar w:fldCharType="begin" w:fldLock="1"/>
      </w:r>
      <w:r w:rsidR="001A0F0E">
        <w:instrText>ADDIN CSL_CITATION { "citationItems" : [ { "id" : "ITEM-1", "itemData" : { "DOI" : "10.1016/j.spinee.2014.06.005", "ISSN" : "1529-9430", "author" : [ { "dropping-particle" : "", "family" : "Song", "given" : "Kyung-jin", "non-dropping-particle" : "", "parse-names" : false, "suffix" : "" }, { "dropping-particle" : "", "family" : "Lee", "given" : "Su-kyung", "non-dropping-particle" : "", "parse-names" : false, "suffix" : "" }, { "dropping-particle" : "", "family" : "Ko", "given" : "Jong-hyun", "non-dropping-particle" : "", "parse-names" : false, "suffix" : "" }, { "dropping-particle" : "", "family" : "Yoo", "given" : "Myung-jae", "non-dropping-particle" : "", "parse-names" : false, "suffix" : "" }, { "dropping-particle" : "", "family" : "Kim", "given" : "Do-yeon", "non-dropping-particle" : "", "parse-names" : false, "suffix" : "" }, { "dropping-particle" : "", "family" : "Lee", "given" : "Kwang-bok", "non-dropping-particle" : "", "parse-names" : false, "suffix" : "" } ], "container-title" : "The Spine Journal", "id" : "ITEM-1", "issue" : "12", "issued" : { "date-parts" : [ [ "2014" ] ] }, "page" : "2954-2958", "publisher" : "Elsevier Inc", "title" : "The clinical efficacy of short-term steroid treatment in multilevel anterior cervical arthrodesis", "type" : "article-journal", "volume" : "14" }, "uris" : [ "http://www.mendeley.com/documents/?uuid=bf44fb5c-c3fe-45bd-997c-b9cba19cc9e2" ] }, { "id" : "ITEM-2", "itemData" : { "DOI" : "10.1007/s00586-002-0495-6", "ISSN" : "0940-6719", "PMID" : "12592551", "abstract" : "Cervical spinal surgery through anterior approaches can lead to ear, nose and throat (ENT) complications, some of which, such as obstruction of upper airways by edema, are potentially life threatening. The purpose of this study was to evaluate the incidence of various categories of ENT lesions and to determine whether preventive treatment with methylprednisolone (Mp) is useful in this indication. In a prospective trial, 236 patients who were undergoing anterior cervical spine surgery were separated into two groups, a control group (group I: 158 patients) and a group receiving 1 mg/kg of Mp intravenously at the end of the operation and 12 and 24 h later (group II: 78 patients). All 236 patients underwent nasofibroscopic examination by an ENT specialist the day before the operation and 24 and 36 h after the operation. The lesions observed during these examinations and reported symptoms such as uncomfortable sensation, odynophagia, or dysphagia were compared between the two groups (chi(2) or Mann-Whitney test) in terms of relative risk, with a confidence interval of 95%. Quantitative findings were compared using Student's t-test ( P&lt;0.05). Demographic characteristics and duration of endotracheal intubation were comparable in the two groups. The ENT examination was considered abnormal in 30 patients of group I and 15 patients of group II preoperatively (NS). It was abnormal in 146 patients of group I (92%) and 46 patients of group II (59%) postoperatively. Altered vocal cord motility was noted in six patients of group I and two patients of group II. The relative risk was 1.6 (CI: 1.3-1.9). Postoperatively, 130 patients in group I and 56 of group II (NS) reported unwanted symptoms. The observed lesions were significantly more severe in group I ( P&lt;0.001), involving primarily the pharyngeal wall, the arytenoids, and the vocal cords. The results of this study indicate that ENT complications of anterior cervical spinal surgery are diminished by administration of Mp. Systematic ENT examination is warranted before this type of operation.", "author" : [ { "dropping-particle" : "", "family" : "Pedram", "given" : "M", "non-dropping-particle" : "", "parse-names" : false, "suffix" : "" }, { "dropping-particle" : "", "family" : "Castagnera", "given" : "L", "non-dropping-particle" : "", "parse-names" : false, "suffix" : "" }, { "dropping-particle" : "", "family" : "Carat", "given" : "X", "non-dropping-particle" : "", "parse-names" : false, "suffix" : "" }, { "dropping-particle" : "", "family" : "Macouillard", "given" : "G", "non-dropping-particle" : "", "parse-names" : false, "suffix" : "" }, { "dropping-particle" : "", "family" : "Vital", "given" : "J-M", "non-dropping-particle" : "", "parse-names" : false, "suffix" : "" } ], "container-title" : "European spine journal : official publication of the European Spine Society, the European Spinal Deformity Society, and the European Section of the Cervical Spine Research Society", "id" : "ITEM-2", "issue" : "1", "issued" : { "date-parts" : [ [ "2003", "2" ] ] }, "page" : "84-90", "title" : "Pharyngolaryngeal lesions in patients undergoing cervical spine surgery through the anterior approach: contribution of methylprednisolone.", "type" : "article-journal", "volume" : "12" }, "uris" : [ "http://www.mendeley.com/documents/?uuid=5bda2ae6-5ded-3ad6-a72d-f96d554565dc" ] }, { "id" : "ITEM-3", "itemData" : { "DOI" : "10.3171/2014.12.SPINE14477.Disclosure", "author" : [ { "dropping-particle" : "", "family" : "Jeyamohan", "given" : "Shiveindra B", "non-dropping-particle" : "", "parse-names" : false, "suffix" : "" }, { "dropping-particle" : "", "family" : "Kenning", "given" : "Tyler J", "non-dropping-particle" : "", "parse-names" : false, "suffix" : "" }, { "dropping-particle" : "", "family" : "Petronis", "given" : "Karen A", "non-dropping-particle" : "", "parse-names" : false, "suffix" : "" }, { "dropping-particle" : "", "family" : "Feustel", "given" : "Paul J", "non-dropping-particle" : "", "parse-names" : false, "suffix" : "" }, { "dropping-particle" : "", "family" : "Drazin", "given" : "Doniel", "non-dropping-particle" : "", "parse-names" : false, "suffix" : "" }, { "dropping-particle" : "", "family" : "Dirisio", "given" : "Darryl J", "non-dropping-particle" : "", "parse-names" : false, "suffix" : "" } ], "id" : "ITEM-3", "issue" : "August", "issued" : { "date-parts" : [ [ "2015" ] ] }, "page" : "137-143", "title" : "Effect of steroid use in anterior cervical discectomy and fusion: a randomized controlled trial", "type" : "article-journal", "volume" : "23" }, "uris" : [ "http://www.mendeley.com/documents/?uuid=7c36d5fe-b0b7-4b3e-88e2-b1d45cd89f20" ] } ], "mendeley" : { "formattedCitation" : "[5,19,20]", "plainTextFormattedCitation" : "[5,19,20]", "previouslyFormattedCitation" : "[5,19,20]" }, "properties" : { "noteIndex" : 0 }, "schema" : "https://github.com/citation-style-language/schema/raw/master/csl-citation.json" }</w:instrText>
      </w:r>
      <w:r w:rsidRPr="006E0D56">
        <w:fldChar w:fldCharType="separate"/>
      </w:r>
      <w:r w:rsidR="001A0F0E" w:rsidRPr="001A0F0E">
        <w:rPr>
          <w:noProof/>
        </w:rPr>
        <w:t>[5,19,20]</w:t>
      </w:r>
      <w:r w:rsidRPr="006E0D56">
        <w:fldChar w:fldCharType="end"/>
      </w:r>
      <w:r w:rsidR="003F0050">
        <w:t>.</w:t>
      </w:r>
      <w:r w:rsidRPr="006E0D56">
        <w:t xml:space="preserve"> While these results are</w:t>
      </w:r>
      <w:r w:rsidR="002E52CA">
        <w:t xml:space="preserve"> encouraging</w:t>
      </w:r>
      <w:r w:rsidR="00DD29EC">
        <w:t>,</w:t>
      </w:r>
      <w:r w:rsidRPr="006E0D56">
        <w:t xml:space="preserve"> systemic corticosteroid utilization is associated with potential system</w:t>
      </w:r>
      <w:r w:rsidR="00C42DAF">
        <w:t>atic</w:t>
      </w:r>
      <w:r w:rsidRPr="006E0D56">
        <w:t xml:space="preserve"> side effects and fusion complications, which are</w:t>
      </w:r>
      <w:r w:rsidR="003A3B1C">
        <w:t xml:space="preserve"> a </w:t>
      </w:r>
      <w:r w:rsidRPr="006E0D56">
        <w:t xml:space="preserve"> deterrent</w:t>
      </w:r>
      <w:r w:rsidR="003A3B1C">
        <w:t xml:space="preserve"> for its use</w:t>
      </w:r>
      <w:r w:rsidR="00494555">
        <w:t xml:space="preserve"> </w:t>
      </w:r>
      <w:r w:rsidR="00494555" w:rsidRPr="006E0D56">
        <w:fldChar w:fldCharType="begin" w:fldLock="1"/>
      </w:r>
      <w:r w:rsidR="009F10AD">
        <w:instrText>ADDIN CSL_CITATION { "citationItems" : [ { "id" : "ITEM-1", "itemData" : { "DOI" : "10.1097/BRS.0b013e318237e5d0", "ISSN" : "0362-2436", "PMID" : "22020609", "abstract" : "STUDY DESIGN A prospective, randomized study. OBJECTIVE To analyze the effect of local retropharyngeal steroid to reduce prevertebral soft tissue swelling (PSTS) after anterior cervical discectomy and fusion (ACDF). SUMMARY OF BACKGROUND DATA There have been several reports on intravenous corticosteroid to prevent airway complication without a consensus; however, there have been no reports to date that have discussed the use of local steroids to reduce PSTS. METHODS Fifty cases that underwent ACDF involving 1 or 2 segments were enrolled. The mean follow-up period was 22 months. Of the 25 cases randomly selected as the steroid group, a mixture of triamcinolone and morcellized collagen sponge was applied to the retropharyngeal space before wound closure. For the control group, the other 25 cases received the operation without steroid. We measured the PSTS ratio to vertebral body from C3 to 7 and PSTS index (PSTSI; mean of PSTS ratio at C3, 4, and 5) on cervical spine. Simple lateral radiographs were taken preoperatively, immediately after operation, and at postoperative 2 days, 4 days, 2 weeks, and the last follow-up. The changes in odynophagia, radiological union, Neck Disability Index were analyzed. RESULTS The PSTS ratio of the steroid group was significantly lower on C3 and C4 immediately after operation, on C3, 4, 5 and C6 at postoperative 2 days, on C3, 4, and 5 at 4 days. The differences of PSTSI (the steroid: control group) maintained at 58.2: 74.3% (P = 0.004) immediately after operation, 57.9: 84.1% (P = 0.000) at 2 days, 56.3: 82.9% (P = 0.000) at 4 days, and 44.9: 51.4% (P = 0.037) at 2 weeks. The mean Visual Analogue Scale for odynophagia was significantly lower in the steroid group until postoperative 2 weeks. The last follow-up showed no significant difference in the radiological and clinical outcome. CONCLUSION Using the retropharyngeal local steroid, we significantly reduced PSTS and odynophagia following ACDF without additional complication. This method may be considered a simple and effective method to decrease PSTS following anterior cervical spine surgery.", "author" : [ { "dropping-particle" : "", "family" : "Lee", "given" : "Sang-Hun", "non-dropping-particle" : "", "parse-names" : false, "suffix" : "" }, { "dropping-particle" : "", "family" : "Kim", "given" : "Ki-Tack", "non-dropping-particle" : "", "parse-names" : false, "suffix" : "" }, { "dropping-particle" : "", "family" : "Suk", "given" : "Kyung-Soo", "non-dropping-particle" : "", "parse-names" : false, "suffix" : "" }, { "dropping-particle" : "", "family" : "Park", "given" : "Kyoung-Jun", "non-dropping-particle" : "", "parse-names" : false, "suffix" : "" }, { "dropping-particle" : "", "family" : "Oh", "given" : "Kyung-Il", "non-dropping-particle" : "", "parse-names" : false, "suffix" : "" } ], "container-title" : "Spine", "id" : "ITEM-1", "issue" : "26", "issued" : { "date-parts" : [ [ "2011", "12", "15" ] ] }, "page" : "2286-2292", "title" : "Effect of Retropharyngeal Steroid on Prevertebral Soft Tissue Swelling Following Anterior Cervical Discectomy and Fusion", "type" : "article-journal", "volume" : "36" }, "uris" : [ "http://www.mendeley.com/documents/?uuid=66724300-6b5a-3e74-a532-1919bfe4364e" ] }, { "id" : "ITEM-2", "itemData" : { "DOI" : "10.3171/2014.12.SPINE14477.Disclosure", "author" : [ { "dropping-particle" : "", "family" : "Jeyamohan", "given" : "Shiveindra B", "non-dropping-particle" : "", "parse-names" : false, "suffix" : "" }, { "dropping-particle" : "", "family" : "Kenning", "given" : "Tyler J", "non-dropping-particle" : "", "parse-names" : false, "suffix" : "" }, { "dropping-particle" : "", "family" : "Petronis", "given" : "Karen A", "non-dropping-particle" : "", "parse-names" : false, "suffix" : "" }, { "dropping-particle" : "", "family" : "Feustel", "given" : "Paul J", "non-dropping-particle" : "", "parse-names" : false, "suffix" : "" }, { "dropping-particle" : "", "family" : "Drazin", "given" : "Doniel", "non-dropping-particle" : "", "parse-names" : false, "suffix" : "" }, { "dropping-particle" : "", "family" : "Dirisio", "given" : "Darryl J", "non-dropping-particle" : "", "parse-names" : false, "suffix" : "" } ], "id" : "ITEM-2", "issue" : "August", "issued" : { "date-parts" : [ [ "2015" ] ] }, "page" : "137-143", "title" : "Effect of steroid use in anterior cervical discectomy and fusion: a randomized controlled trial", "type" : "article-journal", "volume" : "23" }, "uris" : [ "http://www.mendeley.com/documents/?uuid=7c36d5fe-b0b7-4b3e-88e2-b1d45cd89f20" ] }, { "id" : "ITEM-3", "itemData" : { "DOI" : "10.1097/BRS.0000000000001293", "ISBN" : "0000000000", "author" : [ { "dropping-particle" : "", "family" : "Koreckij", "given" : "Theodore D", "non-dropping-particle" : "", "parse-names" : false, "suffix" : "" }, { "dropping-particle" : "", "family" : "Davidson", "given" : "Abigail A", "non-dropping-particle" : "", "parse-names" : false, "suffix" : "" }, { "dropping-particle" : "", "family" : "Baker", "given" : "Kevin C", "non-dropping-particle" : "", "parse-names" : false, "suffix" : "" }, { "dropping-particle" : "", "family" : "Park", "given" : "Daniel K", "non-dropping-particle" : "", "parse-names" : false, "suffix" : "" } ], "id" : "ITEM-3", "issue" : "9", "issued" : { "date-parts" : [ [ "2016" ] ] }, "page" : "530-534", "title" : "Retropharyngeal Steroids and Dysphagia Following Multilevel Anterior Cervical Surgery", "type" : "article-journal", "volume" : "41" }, "uris" : [ "http://www.mendeley.com/documents/?uuid=94d08d25-159b-43ae-8e2d-c558b4eb11b2" ] } ], "mendeley" : { "formattedCitation" : "[5,9,11]", "plainTextFormattedCitation" : "[5,9,11]", "previouslyFormattedCitation" : "[5,9,11]" }, "properties" : { "noteIndex" : 0 }, "schema" : "https://github.com/citation-style-language/schema/raw/master/csl-citation.json" }</w:instrText>
      </w:r>
      <w:r w:rsidR="00494555" w:rsidRPr="006E0D56">
        <w:fldChar w:fldCharType="separate"/>
      </w:r>
      <w:r w:rsidR="009F10AD" w:rsidRPr="009F10AD">
        <w:rPr>
          <w:noProof/>
        </w:rPr>
        <w:t>[5,9,11]</w:t>
      </w:r>
      <w:r w:rsidR="00494555" w:rsidRPr="006E0D56">
        <w:fldChar w:fldCharType="end"/>
      </w:r>
      <w:r w:rsidR="003F0050">
        <w:t>. In this context, a few investigators have</w:t>
      </w:r>
      <w:r w:rsidRPr="006E0D56">
        <w:t xml:space="preserve"> </w:t>
      </w:r>
      <w:r w:rsidR="003F0050">
        <w:t>started to investigate</w:t>
      </w:r>
      <w:r w:rsidRPr="006E0D56">
        <w:t xml:space="preserve"> the impact of </w:t>
      </w:r>
      <w:r w:rsidR="00494555" w:rsidRPr="00494555">
        <w:rPr>
          <w:b/>
        </w:rPr>
        <w:t xml:space="preserve">local </w:t>
      </w:r>
      <w:r w:rsidRPr="00494555">
        <w:rPr>
          <w:b/>
        </w:rPr>
        <w:t>corticosteroids</w:t>
      </w:r>
      <w:r w:rsidRPr="006E0D56">
        <w:t xml:space="preserve"> applied to the retropharyngeal space. These studies also </w:t>
      </w:r>
      <w:r w:rsidR="003F0050">
        <w:t>reported on the effectiveness of corticosteroids</w:t>
      </w:r>
      <w:r w:rsidRPr="006E0D56">
        <w:t xml:space="preserve"> in reducing post-ope</w:t>
      </w:r>
      <w:r w:rsidR="00494555">
        <w:t>r</w:t>
      </w:r>
      <w:r w:rsidRPr="006E0D56">
        <w:t>ative swallowing problems, but had several limitations</w:t>
      </w:r>
      <w:r w:rsidR="003F0050">
        <w:t xml:space="preserve"> ranging from a retrospective design</w:t>
      </w:r>
      <w:r w:rsidR="003F0050" w:rsidRPr="00532530">
        <w:fldChar w:fldCharType="begin" w:fldLock="1"/>
      </w:r>
      <w:r w:rsidR="009F10AD">
        <w:instrText>ADDIN CSL_CITATION { "citationItems" : [ { "id" : "ITEM-1", "itemData" : { "DOI" : "10.1097/BRS.0000000000001293", "ISBN" : "0000000000", "author" : [ { "dropping-particle" : "", "family" : "Koreckij", "given" : "Theodore D", "non-dropping-particle" : "", "parse-names" : false, "suffix" : "" }, { "dropping-particle" : "", "family" : "Davidson", "given" : "Abigail A", "non-dropping-particle" : "", "parse-names" : false, "suffix" : "" }, { "dropping-particle" : "", "family" : "Baker", "given" : "Kevin C", "non-dropping-particle" : "", "parse-names" : false, "suffix" : "" }, { "dropping-particle" : "", "family" : "Park", "given" : "Daniel K", "non-dropping-particle" : "", "parse-names" : false, "suffix" : "" } ], "id" : "ITEM-1", "issue" : "9", "issued" : { "date-parts" : [ [ "2016" ] ] }, "page" : "530-534", "title" : "Retropharyngeal Steroids and Dysphagia Following Multilevel Anterior Cervical Surgery", "type" : "article-journal", "volume" : "41" }, "uris" : [ "http://www.mendeley.com/documents/?uuid=94d08d25-159b-43ae-8e2d-c558b4eb11b2" ] } ], "mendeley" : { "formattedCitation" : "[9]", "plainTextFormattedCitation" : "[9]", "previouslyFormattedCitation" : "[9]" }, "properties" : { "noteIndex" : 0 }, "schema" : "https://github.com/citation-style-language/schema/raw/master/csl-citation.json" }</w:instrText>
      </w:r>
      <w:r w:rsidR="003F0050" w:rsidRPr="00532530">
        <w:fldChar w:fldCharType="separate"/>
      </w:r>
      <w:r w:rsidR="009F10AD" w:rsidRPr="009F10AD">
        <w:rPr>
          <w:noProof/>
        </w:rPr>
        <w:t>[9]</w:t>
      </w:r>
      <w:r w:rsidR="003F0050" w:rsidRPr="00532530">
        <w:fldChar w:fldCharType="end"/>
      </w:r>
      <w:r w:rsidR="003F0050">
        <w:t xml:space="preserve">, use of questionnaires not specific to </w:t>
      </w:r>
      <w:r w:rsidR="00DD29EC">
        <w:t xml:space="preserve">dysphagia </w:t>
      </w:r>
      <w:r w:rsidR="003F0050" w:rsidRPr="00532530">
        <w:rPr>
          <w:color w:val="000000" w:themeColor="text1"/>
        </w:rPr>
        <w:fldChar w:fldCharType="begin" w:fldLock="1"/>
      </w:r>
      <w:r w:rsidR="009F10AD">
        <w:rPr>
          <w:color w:val="000000" w:themeColor="text1"/>
        </w:rPr>
        <w:instrText>ADDIN CSL_CITATION { "citationItems" : [ { "id" : "ITEM-1", "itemData" : { "DOI" : "10.1097/BRS.0b013e318237e5d0", "ISSN" : "0362-2436", "PMID" : "22020609", "abstract" : "STUDY DESIGN A prospective, randomized study. OBJECTIVE To analyze the effect of local retropharyngeal steroid to reduce prevertebral soft tissue swelling (PSTS) after anterior cervical discectomy and fusion (ACDF). SUMMARY OF BACKGROUND DATA There have been several reports on intravenous corticosteroid to prevent airway complication without a consensus; however, there have been no reports to date that have discussed the use of local steroids to reduce PSTS. METHODS Fifty cases that underwent ACDF involving 1 or 2 segments were enrolled. The mean follow-up period was 22 months. Of the 25 cases randomly selected as the steroid group, a mixture of triamcinolone and morcellized collagen sponge was applied to the retropharyngeal space before wound closure. For the control group, the other 25 cases received the operation without steroid. We measured the PSTS ratio to vertebral body from C3 to 7 and PSTS index (PSTSI; mean of PSTS ratio at C3, 4, and 5) on cervical spine. Simple lateral radiographs were taken preoperatively, immediately after operation, and at postoperative 2 days, 4 days, 2 weeks, and the last follow-up. The changes in odynophagia, radiological union, Neck Disability Index were analyzed. RESULTS The PSTS ratio of the steroid group was significantly lower on C3 and C4 immediately after operation, on C3, 4, 5 and C6 at postoperative 2 days, on C3, 4, and 5 at 4 days. The differences of PSTSI (the steroid: control group) maintained at 58.2: 74.3% (P = 0.004) immediately after operation, 57.9: 84.1% (P = 0.000) at 2 days, 56.3: 82.9% (P = 0.000) at 4 days, and 44.9: 51.4% (P = 0.037) at 2 weeks. The mean Visual Analogue Scale for odynophagia was significantly lower in the steroid group until postoperative 2 weeks. The last follow-up showed no significant difference in the radiological and clinical outcome. CONCLUSION Using the retropharyngeal local steroid, we significantly reduced PSTS and odynophagia following ACDF without additional complication. This method may be considered a simple and effective method to decrease PSTS following anterior cervical spine surgery.", "author" : [ { "dropping-particle" : "", "family" : "Lee", "given" : "Sang-Hun", "non-dropping-particle" : "", "parse-names" : false, "suffix" : "" }, { "dropping-particle" : "", "family" : "Kim", "given" : "Ki-Tack", "non-dropping-particle" : "", "parse-names" : false, "suffix" : "" }, { "dropping-particle" : "", "family" : "Suk", "given" : "Kyung-Soo", "non-dropping-particle" : "", "parse-names" : false, "suffix" : "" }, { "dropping-particle" : "", "family" : "Park", "given" : "Kyoung-Jun", "non-dropping-particle" : "", "parse-names" : false, "suffix" : "" }, { "dropping-particle" : "", "family" : "Oh", "given" : "Kyung-Il", "non-dropping-particle" : "", "parse-names" : false, "suffix" : "" } ], "container-title" : "Spine", "id" : "ITEM-1", "issue" : "26", "issued" : { "date-parts" : [ [ "2011", "12", "15" ] ] }, "page" : "2286-2292", "title" : "Effect of Retropharyngeal Steroid on Prevertebral Soft Tissue Swelling Following Anterior Cervical Discectomy and Fusion", "type" : "article-journal", "volume" : "36" }, "uris" : [ "http://www.mendeley.com/documents/?uuid=66724300-6b5a-3e74-a532-1919bfe4364e" ] } ], "mendeley" : { "formattedCitation" : "[11]", "plainTextFormattedCitation" : "[11]", "previouslyFormattedCitation" : "[11]" }, "properties" : { "noteIndex" : 0 }, "schema" : "https://github.com/citation-style-language/schema/raw/master/csl-citation.json" }</w:instrText>
      </w:r>
      <w:r w:rsidR="003F0050" w:rsidRPr="00532530">
        <w:rPr>
          <w:color w:val="000000" w:themeColor="text1"/>
        </w:rPr>
        <w:fldChar w:fldCharType="separate"/>
      </w:r>
      <w:r w:rsidR="009F10AD" w:rsidRPr="009F10AD">
        <w:rPr>
          <w:noProof/>
          <w:color w:val="000000" w:themeColor="text1"/>
        </w:rPr>
        <w:t>[11]</w:t>
      </w:r>
      <w:r w:rsidR="003F0050" w:rsidRPr="00532530">
        <w:rPr>
          <w:color w:val="000000" w:themeColor="text1"/>
        </w:rPr>
        <w:fldChar w:fldCharType="end"/>
      </w:r>
      <w:r w:rsidR="003F0050">
        <w:rPr>
          <w:color w:val="000000" w:themeColor="text1"/>
        </w:rPr>
        <w:t>, exclusion of long ACDF (i.e. &gt; 2 levels)</w:t>
      </w:r>
      <w:r w:rsidR="003F0050" w:rsidRPr="00532530">
        <w:rPr>
          <w:color w:val="000000" w:themeColor="text1"/>
        </w:rPr>
        <w:t xml:space="preserve"> </w:t>
      </w:r>
      <w:r w:rsidR="003F0050" w:rsidRPr="00532530">
        <w:rPr>
          <w:color w:val="000000" w:themeColor="text1"/>
        </w:rPr>
        <w:fldChar w:fldCharType="begin" w:fldLock="1"/>
      </w:r>
      <w:r w:rsidR="009F10AD">
        <w:rPr>
          <w:color w:val="000000" w:themeColor="text1"/>
        </w:rPr>
        <w:instrText>ADDIN CSL_CITATION { "citationItems" : [ { "id" : "ITEM-1", "itemData" : { "DOI" : "10.1097/BRS.0b013e318237e5d0", "ISSN" : "0362-2436", "PMID" : "22020609", "abstract" : "STUDY DESIGN A prospective, randomized study. OBJECTIVE To analyze the effect of local retropharyngeal steroid to reduce prevertebral soft tissue swelling (PSTS) after anterior cervical discectomy and fusion (ACDF). SUMMARY OF BACKGROUND DATA There have been several reports on intravenous corticosteroid to prevent airway complication without a consensus; however, there have been no reports to date that have discussed the use of local steroids to reduce PSTS. METHODS Fifty cases that underwent ACDF involving 1 or 2 segments were enrolled. The mean follow-up period was 22 months. Of the 25 cases randomly selected as the steroid group, a mixture of triamcinolone and morcellized collagen sponge was applied to the retropharyngeal space before wound closure. For the control group, the other 25 cases received the operation without steroid. We measured the PSTS ratio to vertebral body from C3 to 7 and PSTS index (PSTSI; mean of PSTS ratio at C3, 4, and 5) on cervical spine. Simple lateral radiographs were taken preoperatively, immediately after operation, and at postoperative 2 days, 4 days, 2 weeks, and the last follow-up. The changes in odynophagia, radiological union, Neck Disability Index were analyzed. RESULTS The PSTS ratio of the steroid group was significantly lower on C3 and C4 immediately after operation, on C3, 4, 5 and C6 at postoperative 2 days, on C3, 4, and 5 at 4 days. The differences of PSTSI (the steroid: control group) maintained at 58.2: 74.3% (P = 0.004) immediately after operation, 57.9: 84.1% (P = 0.000) at 2 days, 56.3: 82.9% (P = 0.000) at 4 days, and 44.9: 51.4% (P = 0.037) at 2 weeks. The mean Visual Analogue Scale for odynophagia was significantly lower in the steroid group until postoperative 2 weeks. The last follow-up showed no significant difference in the radiological and clinical outcome. CONCLUSION Using the retropharyngeal local steroid, we significantly reduced PSTS and odynophagia following ACDF without additional complication. This method may be considered a simple and effective method to decrease PSTS following anterior cervical spine surgery.", "author" : [ { "dropping-particle" : "", "family" : "Lee", "given" : "Sang-Hun", "non-dropping-particle" : "", "parse-names" : false, "suffix" : "" }, { "dropping-particle" : "", "family" : "Kim", "given" : "Ki-Tack", "non-dropping-particle" : "", "parse-names" : false, "suffix" : "" }, { "dropping-particle" : "", "family" : "Suk", "given" : "Kyung-Soo", "non-dropping-particle" : "", "parse-names" : false, "suffix" : "" }, { "dropping-particle" : "", "family" : "Park", "given" : "Kyoung-Jun", "non-dropping-particle" : "", "parse-names" : false, "suffix" : "" }, { "dropping-particle" : "", "family" : "Oh", "given" : "Kyung-Il", "non-dropping-particle" : "", "parse-names" : false, "suffix" : "" } ], "container-title" : "Spine", "id" : "ITEM-1", "issue" : "26", "issued" : { "date-parts" : [ [ "2011", "12", "15" ] ] }, "page" : "2286-2292", "title" : "Effect of Retropharyngeal Steroid on Prevertebral Soft Tissue Swelling Following Anterior Cervical Discectomy and Fusion", "type" : "article-journal", "volume" : "36" }, "uris" : [ "http://www.mendeley.com/documents/?uuid=66724300-6b5a-3e74-a532-1919bfe4364e" ] } ], "mendeley" : { "formattedCitation" : "[11]", "plainTextFormattedCitation" : "[11]", "previouslyFormattedCitation" : "[11]" }, "properties" : { "noteIndex" : 0 }, "schema" : "https://github.com/citation-style-language/schema/raw/master/csl-citation.json" }</w:instrText>
      </w:r>
      <w:r w:rsidR="003F0050" w:rsidRPr="00532530">
        <w:rPr>
          <w:color w:val="000000" w:themeColor="text1"/>
        </w:rPr>
        <w:fldChar w:fldCharType="separate"/>
      </w:r>
      <w:r w:rsidR="009F10AD" w:rsidRPr="009F10AD">
        <w:rPr>
          <w:noProof/>
          <w:color w:val="000000" w:themeColor="text1"/>
        </w:rPr>
        <w:t>[11]</w:t>
      </w:r>
      <w:r w:rsidR="003F0050" w:rsidRPr="00532530">
        <w:rPr>
          <w:color w:val="000000" w:themeColor="text1"/>
        </w:rPr>
        <w:fldChar w:fldCharType="end"/>
      </w:r>
      <w:r w:rsidR="003F0050">
        <w:rPr>
          <w:color w:val="000000" w:themeColor="text1"/>
        </w:rPr>
        <w:t xml:space="preserve">, or use of administrative database/CPT codes to assess </w:t>
      </w:r>
      <w:r w:rsidR="00DD29EC">
        <w:rPr>
          <w:color w:val="000000" w:themeColor="text1"/>
        </w:rPr>
        <w:t>dysphagia</w:t>
      </w:r>
      <w:r w:rsidR="003F0050" w:rsidRPr="00532530">
        <w:fldChar w:fldCharType="begin" w:fldLock="1"/>
      </w:r>
      <w:r w:rsidR="001A0F0E">
        <w:instrText>ADDIN CSL_CITATION { "citationItems" : [ { "id" : "ITEM-1", "itemData" : { "DOI" : "10.1097/BRS.0000000000001407", "ISBN" : "0000000000", "ISSN" : "1528-1159", "PMID" : "26679890", "abstract" : "STUDY DESIGN A retrospective database analysis. OBJECTIVE The aim of this study is to compare rates of postoperative dysphagia, length of stay, infection, and wound complications following short and long anterior cervical discectomy and fusion (ACDF) in patients who received local intraoperative steroids and those who did not. SUMMARY OF BACKGROUND DATA Only one prior small institutional study has investigated the application of local steroids at the time of ACDF to decrease postoperative dysphagia. METHODS A large administrative database was utilized to compare rates of postoperative dysphagia, length of stay, and infectious complications within 90 days in patients who received local steroid following short (1-2 level) and long (3 or more level) ACDF and control groups who did not. Nonobtainable information within the database included type of steroid, application technique, outcome data, and incidence of miscoding and noncoding by physicians. Odds ratios (ORs), 95% confidence intervals (95% CIs) and P values were then calculated using SPSS. RESULTS The incidence of dysphagia was significantly lower (9.0% vs. 14.6%, P = 0.005) in patients who received local steroid in the long ACDF group (n = 322) than a control group who did not (n = 45,432). This was not observed (P = 0.198) in the short ACDF group who received steroid (n = 1770) compared with a control group who did not (n = 198,230). The mean difference in length of stay was 1 day less for patients who received local steroid in both the short and long ACDF groups (P &lt; 0.0001). The combined rate of postoperative infection and wound complications was not significantly different between steroid and control groups (P = 0.717). CONCLUSION This analysis of a large administrative database suggests that local intraoperative steroid is associated with a significantly reduced rate of postoperative dysphagia after long ACDF and reduced average length of stay following both long and short ACDF without any increase in the rate of postoperative infection or wound complication. LEVEL OF EVIDENCE 3.", "author" : [ { "dropping-particle" : "", "family" : "Cancienne", "given" : "Jourdan M", "non-dropping-particle" : "", "parse-names" : false, "suffix" : "" }, { "dropping-particle" : "", "family" : "Werner", "given" : "Brian C", "non-dropping-particle" : "", "parse-names" : false, "suffix" : "" }, { "dropping-particle" : "", "family" : "Loeb", "given" : "Alex E", "non-dropping-particle" : "", "parse-names" : false, "suffix" : "" }, { "dropping-particle" : "", "family" : "Yang", "given" : "Scott S", "non-dropping-particle" : "", "parse-names" : false, "suffix" : "" }, { "dropping-particle" : "", "family" : "Hassanzadeh", "given" : "Hamid", "non-dropping-particle" : "", "parse-names" : false, "suffix" : "" }, { "dropping-particle" : "", "family" : "Singla", "given" : "Anuj", "non-dropping-particle" : "", "parse-names" : false, "suffix" : "" }, { "dropping-particle" : "", "family" : "Shen", "given" : "Frank H", "non-dropping-particle" : "", "parse-names" : false, "suffix" : "" }, { "dropping-particle" : "", "family" : "Shimer", "given" : "Adam L", "non-dropping-particle" : "", "parse-names" : false, "suffix" : "" } ], "container-title" : "Spine", "id" : "ITEM-1", "issue" : "13", "issued" : { "date-parts" : [ [ "2016", "7" ] ] }, "page" : "1084-8", "title" : "The Effect of Local Intraoperative Steroid Administration on the Rate of Postoperative Dysphagia Following ACDF: A Study of 245,754 Patients.", "type" : "article-journal", "volume" : "41" }, "uris" : [ "http://www.mendeley.com/documents/?uuid=97732686-c06a-4f0b-8bd8-a11714d88431", "http://www.mendeley.com/documents/?uuid=19410fd3-965c-4548-b5b8-a912b00704ea" ] } ], "mendeley" : { "formattedCitation" : "[22]", "plainTextFormattedCitation" : "[22]", "previouslyFormattedCitation" : "[22]" }, "properties" : { "noteIndex" : 0 }, "schema" : "https://github.com/citation-style-language/schema/raw/master/csl-citation.json" }</w:instrText>
      </w:r>
      <w:r w:rsidR="003F0050" w:rsidRPr="00532530">
        <w:fldChar w:fldCharType="separate"/>
      </w:r>
      <w:r w:rsidR="001A0F0E" w:rsidRPr="001A0F0E">
        <w:rPr>
          <w:noProof/>
        </w:rPr>
        <w:t>[22]</w:t>
      </w:r>
      <w:r w:rsidR="003F0050" w:rsidRPr="00532530">
        <w:fldChar w:fldCharType="end"/>
      </w:r>
      <w:r w:rsidR="00494555">
        <w:t>.</w:t>
      </w:r>
      <w:r w:rsidR="003F0050" w:rsidRPr="00532530">
        <w:t xml:space="preserve"> </w:t>
      </w:r>
      <w:r w:rsidR="003F0050">
        <w:rPr>
          <w:color w:val="000000" w:themeColor="text1"/>
        </w:rPr>
        <w:t xml:space="preserve"> </w:t>
      </w:r>
    </w:p>
    <w:p w14:paraId="47DD4110" w14:textId="2DFDC5E2" w:rsidR="006E0D56" w:rsidRPr="006E0D56" w:rsidRDefault="00254E6A" w:rsidP="003F0050">
      <w:r>
        <w:t xml:space="preserve">Our study aims to elucidate the role of local intraoperative corticosteroids (LIC) in dysphagia after </w:t>
      </w:r>
      <w:r w:rsidR="00490125">
        <w:t xml:space="preserve">multi-level </w:t>
      </w:r>
      <w:r>
        <w:t xml:space="preserve">ACDF by utilizing validated questionnaires in a prospectively randomized double-blinded </w:t>
      </w:r>
      <w:r w:rsidR="00490125">
        <w:t xml:space="preserve">fashion. </w:t>
      </w:r>
      <w:r w:rsidR="006E0D56" w:rsidRPr="006E0D56">
        <w:t xml:space="preserve">To further reduce any bias associated with the study, our hypothesis was that there would </w:t>
      </w:r>
      <w:r w:rsidR="006E0D56" w:rsidRPr="002E52CA">
        <w:t>be no difference in swallowing difficulty between</w:t>
      </w:r>
      <w:r w:rsidR="00BB2478">
        <w:t xml:space="preserve"> the</w:t>
      </w:r>
      <w:r w:rsidR="006E0D56" w:rsidRPr="002E52CA">
        <w:t xml:space="preserve"> patients who do and</w:t>
      </w:r>
      <w:r w:rsidR="00BB2478">
        <w:t xml:space="preserve"> the</w:t>
      </w:r>
      <w:r w:rsidR="006E0D56" w:rsidRPr="002E52CA">
        <w:t xml:space="preserve"> patients who do not receive intraoperative topical steroids in</w:t>
      </w:r>
      <w:r w:rsidR="00F820FE">
        <w:t xml:space="preserve"> their</w:t>
      </w:r>
      <w:r w:rsidR="00D47C41">
        <w:t xml:space="preserve"> </w:t>
      </w:r>
      <w:r w:rsidR="006E0D56" w:rsidRPr="002E52CA">
        <w:t>wound at the end of the surgical case.</w:t>
      </w:r>
    </w:p>
    <w:p w14:paraId="404C3D75" w14:textId="77777777" w:rsidR="002A4E69" w:rsidRDefault="002A4E69" w:rsidP="008A062B">
      <w:pPr>
        <w:pStyle w:val="Heading2"/>
      </w:pPr>
    </w:p>
    <w:p w14:paraId="01FC4609" w14:textId="77777777" w:rsidR="00ED7E9D" w:rsidRDefault="00ED7E9D">
      <w:pPr>
        <w:spacing w:line="276" w:lineRule="auto"/>
        <w:jc w:val="left"/>
        <w:rPr>
          <w:rFonts w:ascii="Calibri" w:eastAsiaTheme="majorEastAsia" w:hAnsi="Calibri" w:cstheme="majorBidi"/>
          <w:b/>
          <w:bCs/>
          <w:smallCaps/>
          <w:color w:val="000000" w:themeColor="text1"/>
          <w:sz w:val="24"/>
          <w:szCs w:val="26"/>
          <w:shd w:val="clear" w:color="auto" w:fill="FFFFFF"/>
        </w:rPr>
      </w:pPr>
      <w:r>
        <w:br w:type="page"/>
      </w:r>
    </w:p>
    <w:p w14:paraId="0E15DB28" w14:textId="19FC6004" w:rsidR="00486854" w:rsidRDefault="00486854" w:rsidP="008A062B">
      <w:pPr>
        <w:pStyle w:val="Heading2"/>
      </w:pPr>
      <w:r>
        <w:t xml:space="preserve">Methods </w:t>
      </w:r>
    </w:p>
    <w:p w14:paraId="778546EC" w14:textId="77777777" w:rsidR="003C27C4" w:rsidRDefault="003C27C4" w:rsidP="00A172A1">
      <w:pPr>
        <w:pStyle w:val="Heading3"/>
      </w:pPr>
      <w:r>
        <w:t>Study design</w:t>
      </w:r>
    </w:p>
    <w:p w14:paraId="4EFED12E" w14:textId="1512F3FD" w:rsidR="00486854" w:rsidRDefault="00486854" w:rsidP="00A172A1">
      <w:r>
        <w:lastRenderedPageBreak/>
        <w:t>This IRB approved</w:t>
      </w:r>
      <w:r w:rsidR="00340690">
        <w:t xml:space="preserve"> study is a</w:t>
      </w:r>
      <w:r>
        <w:t xml:space="preserve"> single center, prospective, </w:t>
      </w:r>
      <w:proofErr w:type="gramStart"/>
      <w:r w:rsidR="006E41FF">
        <w:t>randomized</w:t>
      </w:r>
      <w:r w:rsidR="0068101D">
        <w:t>,</w:t>
      </w:r>
      <w:proofErr w:type="gramEnd"/>
      <w:r>
        <w:t xml:space="preserve"> double-blind control </w:t>
      </w:r>
      <w:r w:rsidR="00340690">
        <w:t>trial</w:t>
      </w:r>
      <w:r w:rsidR="00400600">
        <w:t>. Study inclusion criteria were patient</w:t>
      </w:r>
      <w:r w:rsidR="003C27C4">
        <w:t>s over</w:t>
      </w:r>
      <w:r w:rsidR="00400600">
        <w:t xml:space="preserve"> 18 years old</w:t>
      </w:r>
      <w:r w:rsidR="003C27C4">
        <w:t xml:space="preserve"> undergoing 2, 3, or 4 levels of ACDF. Exclusion criteria were revision surgery, ongoing infection, cases of t</w:t>
      </w:r>
      <w:r>
        <w:t>rauma w</w:t>
      </w:r>
      <w:r w:rsidR="003C27C4">
        <w:t>ith</w:t>
      </w:r>
      <w:r>
        <w:t xml:space="preserve"> esophageal damage</w:t>
      </w:r>
      <w:r w:rsidR="003C27C4">
        <w:t xml:space="preserve"> or</w:t>
      </w:r>
      <w:r>
        <w:t xml:space="preserve"> vertebral fracture</w:t>
      </w:r>
      <w:r w:rsidR="003C27C4">
        <w:t>, p</w:t>
      </w:r>
      <w:r>
        <w:t xml:space="preserve">atients with </w:t>
      </w:r>
      <w:r w:rsidR="003C27C4">
        <w:t xml:space="preserve">diagnosis </w:t>
      </w:r>
      <w:r w:rsidR="004D0615">
        <w:t xml:space="preserve">related to swallowing </w:t>
      </w:r>
      <w:r w:rsidR="001A0F0E">
        <w:t>issues</w:t>
      </w:r>
      <w:r w:rsidR="004D0615">
        <w:t xml:space="preserve"> (i.e. </w:t>
      </w:r>
      <w:r>
        <w:t xml:space="preserve">Esophagitis, Barrett’s Esophagus, </w:t>
      </w:r>
      <w:proofErr w:type="spellStart"/>
      <w:r>
        <w:t>Sjogren’s</w:t>
      </w:r>
      <w:proofErr w:type="spellEnd"/>
      <w:r>
        <w:t xml:space="preserve"> Syndrom</w:t>
      </w:r>
      <w:r w:rsidR="003023AB">
        <w:t>e</w:t>
      </w:r>
      <w:r>
        <w:t>,</w:t>
      </w:r>
      <w:r w:rsidR="004D0615">
        <w:t xml:space="preserve"> Multiple Sclerosis</w:t>
      </w:r>
      <w:r>
        <w:t>, Laryngitis</w:t>
      </w:r>
      <w:r w:rsidR="003C27C4">
        <w:t xml:space="preserve">), </w:t>
      </w:r>
      <w:r w:rsidR="00A239BD">
        <w:t>patients</w:t>
      </w:r>
      <w:r>
        <w:t xml:space="preserve"> with a</w:t>
      </w:r>
      <w:r w:rsidR="003C27C4">
        <w:t xml:space="preserve"> medical history </w:t>
      </w:r>
      <w:r>
        <w:t>that puts them at an extremely elevated risk of extended length of stay/ infection</w:t>
      </w:r>
      <w:r w:rsidR="003C27C4">
        <w:t>, and a</w:t>
      </w:r>
      <w:r>
        <w:t>ll those who do not wish to be randomized/ blinded</w:t>
      </w:r>
      <w:r w:rsidR="00490125">
        <w:t>.</w:t>
      </w:r>
    </w:p>
    <w:p w14:paraId="20ABBEE2" w14:textId="77777777" w:rsidR="00486854" w:rsidRDefault="00486854" w:rsidP="00A172A1">
      <w:pPr>
        <w:pStyle w:val="Heading3"/>
      </w:pPr>
      <w:r>
        <w:t>Randomization Assignment</w:t>
      </w:r>
      <w:r w:rsidR="003C27C4">
        <w:t xml:space="preserve"> </w:t>
      </w:r>
      <w:r>
        <w:t>/ Treatments</w:t>
      </w:r>
    </w:p>
    <w:p w14:paraId="77C6B086" w14:textId="49AB6888" w:rsidR="003C27C4" w:rsidRDefault="003C27C4" w:rsidP="003C27C4">
      <w:pPr>
        <w:pStyle w:val="ListParagraph"/>
        <w:ind w:left="0"/>
      </w:pPr>
      <w:r>
        <w:t>Patients in this study were randomized in a double blinded fashion to either the Steroid</w:t>
      </w:r>
      <w:r w:rsidR="00490125">
        <w:t xml:space="preserve"> (S)</w:t>
      </w:r>
      <w:r>
        <w:t xml:space="preserve">, or the Control </w:t>
      </w:r>
      <w:r w:rsidR="00490125">
        <w:t xml:space="preserve">(C) </w:t>
      </w:r>
      <w:r>
        <w:t xml:space="preserve">arm. Subjects randomized to the Steroid Arm </w:t>
      </w:r>
      <w:r w:rsidRPr="00874082">
        <w:t>received 1ml (40mg) of methylprednisolone</w:t>
      </w:r>
      <w:r w:rsidR="002130A2">
        <w:t>,</w:t>
      </w:r>
      <w:r w:rsidRPr="00874082">
        <w:t xml:space="preserve"> delivered with an absorbable gel matrix (vehicle) to the retro-esophageal space prior to closure. Subjects </w:t>
      </w:r>
      <w:r w:rsidR="007D08BC">
        <w:t>r</w:t>
      </w:r>
      <w:r w:rsidRPr="00874082">
        <w:t xml:space="preserve">andomized to the Control Arm received only the </w:t>
      </w:r>
      <w:r>
        <w:t>g</w:t>
      </w:r>
      <w:r w:rsidRPr="00874082">
        <w:t xml:space="preserve">el matrix prior to closure. </w:t>
      </w:r>
    </w:p>
    <w:p w14:paraId="1C6F0F60" w14:textId="77777777" w:rsidR="003C27C4" w:rsidRDefault="003C27C4" w:rsidP="00A172A1">
      <w:pPr>
        <w:pStyle w:val="ListParagraph"/>
        <w:ind w:left="0"/>
      </w:pPr>
    </w:p>
    <w:p w14:paraId="7CBD04E1" w14:textId="1C602ED8" w:rsidR="00486854" w:rsidRDefault="00486854" w:rsidP="00A172A1">
      <w:pPr>
        <w:pStyle w:val="ListParagraph"/>
        <w:ind w:left="0"/>
      </w:pPr>
      <w:r>
        <w:t xml:space="preserve">Prior to </w:t>
      </w:r>
      <w:r w:rsidR="003A3B1C">
        <w:t>initiation of</w:t>
      </w:r>
      <w:r w:rsidR="00D222FB">
        <w:t xml:space="preserve"> the</w:t>
      </w:r>
      <w:r>
        <w:t xml:space="preserve"> study, the Biostatistics </w:t>
      </w:r>
      <w:r w:rsidR="00490125">
        <w:t>D</w:t>
      </w:r>
      <w:r>
        <w:t>epartment created a computer generated randomization table</w:t>
      </w:r>
      <w:r w:rsidR="00D222FB">
        <w:t xml:space="preserve"> of subjects</w:t>
      </w:r>
      <w:r w:rsidR="00890C05">
        <w:t>’</w:t>
      </w:r>
      <w:r w:rsidR="00D222FB">
        <w:t xml:space="preserve"> IDs vs. randomized arm</w:t>
      </w:r>
      <w:r>
        <w:t>.  The subject ID and randomization</w:t>
      </w:r>
      <w:r w:rsidR="00D222FB">
        <w:t xml:space="preserve"> arm</w:t>
      </w:r>
      <w:r>
        <w:t xml:space="preserve"> </w:t>
      </w:r>
      <w:r w:rsidR="0068101D">
        <w:t xml:space="preserve">were </w:t>
      </w:r>
      <w:r>
        <w:t xml:space="preserve">assigned to a subject after the informed consent form was signed. On the day of the </w:t>
      </w:r>
      <w:r w:rsidR="003C27C4">
        <w:t>surgery</w:t>
      </w:r>
      <w:r>
        <w:t xml:space="preserve">, the research </w:t>
      </w:r>
      <w:r w:rsidR="00A172A1">
        <w:t>coordinator</w:t>
      </w:r>
      <w:r>
        <w:t xml:space="preserve"> paired the randomization number with the pre-generated randomization key to obtain the randomization assignment. While the OR was being set up</w:t>
      </w:r>
      <w:r w:rsidR="00A525A3">
        <w:t>,</w:t>
      </w:r>
      <w:r>
        <w:t xml:space="preserve"> the randomization was shared with the surgical team, and specific instructions were given to ensure that the Surgeon and First Assist remained blinded throughout the operation. </w:t>
      </w:r>
    </w:p>
    <w:p w14:paraId="49D9B06B" w14:textId="77777777" w:rsidR="00D222FB" w:rsidRDefault="00D222FB" w:rsidP="00A172A1">
      <w:pPr>
        <w:pStyle w:val="ListParagraph"/>
        <w:ind w:left="0"/>
      </w:pPr>
    </w:p>
    <w:p w14:paraId="7A712A70" w14:textId="600F339F" w:rsidR="00110DF4" w:rsidRDefault="009A0627" w:rsidP="00A172A1">
      <w:pPr>
        <w:pStyle w:val="ListParagraph"/>
        <w:ind w:left="0"/>
      </w:pPr>
      <w:r>
        <w:t xml:space="preserve">As per </w:t>
      </w:r>
      <w:r w:rsidR="00F21BF6">
        <w:t xml:space="preserve">the </w:t>
      </w:r>
      <w:r>
        <w:t xml:space="preserve">institutional </w:t>
      </w:r>
      <w:r w:rsidR="00110DF4">
        <w:t>standard of care</w:t>
      </w:r>
      <w:r w:rsidR="00F21BF6">
        <w:t>,</w:t>
      </w:r>
      <w:r w:rsidR="00110DF4">
        <w:t xml:space="preserve"> all patients received 8 to </w:t>
      </w:r>
      <w:r w:rsidR="00392DD7">
        <w:t>10ml</w:t>
      </w:r>
      <w:r w:rsidR="00110DF4">
        <w:t xml:space="preserve"> of</w:t>
      </w:r>
      <w:r w:rsidR="004D0615">
        <w:t xml:space="preserve"> IV</w:t>
      </w:r>
      <w:r w:rsidR="00110DF4">
        <w:t xml:space="preserve"> dexamethasone</w:t>
      </w:r>
      <w:r>
        <w:t xml:space="preserve"> regardless of the randomization arm</w:t>
      </w:r>
      <w:r w:rsidR="00110DF4">
        <w:t xml:space="preserve">. </w:t>
      </w:r>
      <w:r w:rsidR="004F5161">
        <w:t xml:space="preserve">This intra-operative administration of steroid aims </w:t>
      </w:r>
      <w:r w:rsidR="00AB2236">
        <w:t xml:space="preserve">to protect </w:t>
      </w:r>
      <w:r w:rsidR="004F5161">
        <w:t>the spinal cor</w:t>
      </w:r>
      <w:r w:rsidR="00A172A1">
        <w:t>d</w:t>
      </w:r>
      <w:r w:rsidR="004F5161">
        <w:t xml:space="preserve"> </w:t>
      </w:r>
      <w:r w:rsidR="004F5161">
        <w:lastRenderedPageBreak/>
        <w:t xml:space="preserve">and nerve root injury during the procedure and is recommended by </w:t>
      </w:r>
      <w:r w:rsidR="00AB2236">
        <w:t xml:space="preserve">the institution’s </w:t>
      </w:r>
      <w:r w:rsidR="00D30028">
        <w:t xml:space="preserve">Anesthesiology Service </w:t>
      </w:r>
      <w:r w:rsidR="004F5161">
        <w:t>for it</w:t>
      </w:r>
      <w:r w:rsidR="00AB2236">
        <w:t>s</w:t>
      </w:r>
      <w:r w:rsidR="004F5161">
        <w:t xml:space="preserve"> </w:t>
      </w:r>
      <w:r w:rsidR="00110DF4">
        <w:t>anti</w:t>
      </w:r>
      <w:r w:rsidR="0068101D">
        <w:t>-</w:t>
      </w:r>
      <w:r w:rsidR="00110DF4">
        <w:t>anemic effec</w:t>
      </w:r>
      <w:r w:rsidR="004F5161">
        <w:t>ts</w:t>
      </w:r>
      <w:r w:rsidR="00AB2236">
        <w:t>.</w:t>
      </w:r>
    </w:p>
    <w:p w14:paraId="627610E2" w14:textId="77777777" w:rsidR="003026C3" w:rsidRDefault="003026C3" w:rsidP="00A172A1">
      <w:pPr>
        <w:pStyle w:val="Heading3"/>
      </w:pPr>
      <w:r>
        <w:t xml:space="preserve">Time period of analysis </w:t>
      </w:r>
    </w:p>
    <w:p w14:paraId="6672943A" w14:textId="4F85F7BA" w:rsidR="003026C3" w:rsidRDefault="003026C3" w:rsidP="00A172A1">
      <w:r>
        <w:t xml:space="preserve">While the study design included following-up the patients </w:t>
      </w:r>
      <w:r w:rsidR="00AB2236">
        <w:t xml:space="preserve">up to </w:t>
      </w:r>
      <w:r>
        <w:t xml:space="preserve">1-year post-op, this interim analysis solely focused on </w:t>
      </w:r>
      <w:r w:rsidR="009F00F2">
        <w:t xml:space="preserve">the </w:t>
      </w:r>
      <w:r>
        <w:t>early outcomes of patients with a minimum one month follow-up</w:t>
      </w:r>
      <w:r w:rsidR="00AB2236">
        <w:t>.</w:t>
      </w:r>
    </w:p>
    <w:p w14:paraId="54AD6503" w14:textId="77777777" w:rsidR="00486854" w:rsidRDefault="00486854" w:rsidP="00A172A1">
      <w:pPr>
        <w:pStyle w:val="Heading3"/>
      </w:pPr>
      <w:r>
        <w:t xml:space="preserve">Data Collection </w:t>
      </w:r>
    </w:p>
    <w:p w14:paraId="1B090C2B" w14:textId="6008433F" w:rsidR="00110DF4" w:rsidRDefault="00110DF4" w:rsidP="00A172A1">
      <w:r>
        <w:t xml:space="preserve">Data collection included </w:t>
      </w:r>
      <w:r w:rsidRPr="00A172A1">
        <w:rPr>
          <w:b/>
        </w:rPr>
        <w:t>baseline</w:t>
      </w:r>
      <w:r>
        <w:t xml:space="preserve"> </w:t>
      </w:r>
      <w:r w:rsidRPr="00A172A1">
        <w:rPr>
          <w:b/>
        </w:rPr>
        <w:t>demographic variables</w:t>
      </w:r>
      <w:r>
        <w:t xml:space="preserve"> (age, sex, BMI, </w:t>
      </w:r>
      <w:proofErr w:type="spellStart"/>
      <w:r>
        <w:t>Charlson</w:t>
      </w:r>
      <w:proofErr w:type="spellEnd"/>
      <w:r>
        <w:t xml:space="preserve"> Comorbidity Index [CCI], smoking history, and diagnosis), </w:t>
      </w:r>
      <w:r w:rsidRPr="00A172A1">
        <w:rPr>
          <w:b/>
        </w:rPr>
        <w:t>surgical information</w:t>
      </w:r>
      <w:r>
        <w:t xml:space="preserve"> (operative time, number of levels fused, surgical level distribution [i.e. C4-7]), and </w:t>
      </w:r>
      <w:r>
        <w:rPr>
          <w:b/>
        </w:rPr>
        <w:t>inpatient data</w:t>
      </w:r>
      <w:r>
        <w:t xml:space="preserve"> (length of stay [LOS]</w:t>
      </w:r>
      <w:proofErr w:type="gramStart"/>
      <w:r>
        <w:t>, ,</w:t>
      </w:r>
      <w:proofErr w:type="gramEnd"/>
      <w:r>
        <w:t xml:space="preserve"> additional </w:t>
      </w:r>
      <w:r w:rsidR="00890C05">
        <w:t>p</w:t>
      </w:r>
      <w:r>
        <w:t xml:space="preserve">ost-operative </w:t>
      </w:r>
      <w:r w:rsidR="00890C05">
        <w:t>s</w:t>
      </w:r>
      <w:r>
        <w:t xml:space="preserve">teroid </w:t>
      </w:r>
      <w:r w:rsidR="00890C05">
        <w:t>a</w:t>
      </w:r>
      <w:r>
        <w:t>dministration)</w:t>
      </w:r>
    </w:p>
    <w:p w14:paraId="45248C90" w14:textId="1E442DF3" w:rsidR="00A239BD" w:rsidRDefault="00D30028" w:rsidP="00A172A1">
      <w:r>
        <w:t>All</w:t>
      </w:r>
      <w:r w:rsidR="00110DF4">
        <w:t xml:space="preserve"> primary patient reported outcomes (PROs) were </w:t>
      </w:r>
      <w:r>
        <w:t xml:space="preserve">dysphagia </w:t>
      </w:r>
      <w:r w:rsidR="00110DF4">
        <w:t xml:space="preserve">specific and included the following instruments: SWAL-QOL, Eat-10, and Bazaz. </w:t>
      </w:r>
      <w:r>
        <w:t xml:space="preserve">These questionnaires </w:t>
      </w:r>
      <w:r w:rsidR="00110DF4">
        <w:t>were administered pre-operatively, on post-op Day 1 (POD1), post-op Day 2 (POD2), and 1 month post-operatively</w:t>
      </w:r>
      <w:r w:rsidR="00494555">
        <w:t>.</w:t>
      </w:r>
      <w:r>
        <w:t xml:space="preserve"> S</w:t>
      </w:r>
      <w:r w:rsidR="00110DF4">
        <w:t xml:space="preserve">econdary PROs </w:t>
      </w:r>
      <w:r w:rsidR="00A239BD">
        <w:t>included NDI (collected pre-operatively, and at 1 month post-operatively),</w:t>
      </w:r>
      <w:r>
        <w:t xml:space="preserve"> as</w:t>
      </w:r>
      <w:r w:rsidR="00A239BD">
        <w:t xml:space="preserve"> well as VAS for Neck and Arm pain (collected pre-operatively, at POD1, POD2, and at 1 month post-</w:t>
      </w:r>
      <w:r w:rsidR="003026C3">
        <w:t>operatively</w:t>
      </w:r>
      <w:r w:rsidR="00A239BD">
        <w:t>)</w:t>
      </w:r>
    </w:p>
    <w:p w14:paraId="4989A7C6" w14:textId="77777777" w:rsidR="00486854" w:rsidRDefault="00486854" w:rsidP="00A172A1">
      <w:pPr>
        <w:pStyle w:val="Heading3"/>
      </w:pPr>
      <w:r>
        <w:t xml:space="preserve">Statistics </w:t>
      </w:r>
    </w:p>
    <w:p w14:paraId="40F6381D" w14:textId="41B205E5" w:rsidR="00486854" w:rsidRPr="00C77122" w:rsidRDefault="003C27C4" w:rsidP="00A172A1">
      <w:r>
        <w:t xml:space="preserve">Steroid and Control arms were compared in terms of demographics and surgical </w:t>
      </w:r>
      <w:r w:rsidR="00D222FB">
        <w:t xml:space="preserve">information using a student’s </w:t>
      </w:r>
      <w:proofErr w:type="spellStart"/>
      <w:r w:rsidR="00D222FB">
        <w:t>independentt</w:t>
      </w:r>
      <w:proofErr w:type="spellEnd"/>
      <w:r w:rsidR="00890C05">
        <w:t>-</w:t>
      </w:r>
      <w:r w:rsidR="00D222FB">
        <w:t>test and chi square/fisher exact test for normally distributed data, and a Mann-Whitney U test otherwise</w:t>
      </w:r>
      <w:r>
        <w:t>. In terms of</w:t>
      </w:r>
      <w:r w:rsidR="00D30028">
        <w:t xml:space="preserve"> PROs</w:t>
      </w:r>
      <w:r>
        <w:t>, a</w:t>
      </w:r>
      <w:r w:rsidR="00486854" w:rsidRPr="00FA1C95">
        <w:t xml:space="preserve"> Mann-Whitney U test was performed to compare </w:t>
      </w:r>
      <w:r w:rsidR="00250386">
        <w:t xml:space="preserve">the </w:t>
      </w:r>
      <w:r w:rsidR="00486854" w:rsidRPr="00FA1C95">
        <w:t>group median</w:t>
      </w:r>
      <w:r w:rsidR="00486854">
        <w:t>s for dysphagia</w:t>
      </w:r>
      <w:r w:rsidR="00486854" w:rsidRPr="00FA1C95">
        <w:t xml:space="preserve"> scores </w:t>
      </w:r>
      <w:r w:rsidR="00486854">
        <w:t xml:space="preserve">at Baseline, Post-op Day 1, Post-op Day 2, and 1 month postoperatively. </w:t>
      </w:r>
      <w:r w:rsidR="00D30028">
        <w:t xml:space="preserve">In addition, </w:t>
      </w:r>
      <w:r w:rsidR="00486854">
        <w:t>a pre-post op comparison was conducted by calculating the change in PRO from baseline to each post-operative time point for each patient.</w:t>
      </w:r>
      <w:r>
        <w:t xml:space="preserve"> Statistical significance was determined for all results with p&lt;0.05.</w:t>
      </w:r>
    </w:p>
    <w:p w14:paraId="7BC86A9E" w14:textId="47DE796F" w:rsidR="00ED1DBF" w:rsidRPr="00486854" w:rsidRDefault="00ED1DBF" w:rsidP="00ED1DBF">
      <w:pPr>
        <w:pStyle w:val="Heading2"/>
      </w:pPr>
      <w:r w:rsidRPr="00486854">
        <w:lastRenderedPageBreak/>
        <w:t>Results</w:t>
      </w:r>
    </w:p>
    <w:p w14:paraId="52AF2B08" w14:textId="77777777" w:rsidR="00ED1DBF" w:rsidRPr="008A062B" w:rsidRDefault="00ED1DBF" w:rsidP="00ED1DBF">
      <w:pPr>
        <w:pStyle w:val="Heading3"/>
        <w:rPr>
          <w:rStyle w:val="Heading3Char"/>
          <w:i/>
        </w:rPr>
      </w:pPr>
      <w:r w:rsidRPr="008A062B">
        <w:rPr>
          <w:rStyle w:val="Heading3Char"/>
          <w:i/>
        </w:rPr>
        <w:t>Patient Population</w:t>
      </w:r>
      <w:r>
        <w:rPr>
          <w:rStyle w:val="Heading3Char"/>
          <w:i/>
        </w:rPr>
        <w:t xml:space="preserve"> (Table 1)</w:t>
      </w:r>
    </w:p>
    <w:p w14:paraId="2512A0A8" w14:textId="70B8A8AC" w:rsidR="00ED1DBF" w:rsidRDefault="00ED1DBF" w:rsidP="00ED1DBF">
      <w:r>
        <w:t>At the time of this interim analysis</w:t>
      </w:r>
      <w:r w:rsidR="00D26E69">
        <w:t>,</w:t>
      </w:r>
      <w:r>
        <w:t xml:space="preserve"> a total of 65 patients have been </w:t>
      </w:r>
      <w:r w:rsidR="00D26E69">
        <w:t xml:space="preserve">formally </w:t>
      </w:r>
      <w:r>
        <w:t xml:space="preserve">enrolled in the study. Due to 5 screen failures, and 1 patient requesting to be withdrawn, 59 of the initial 65 patients were included in the analysis. This cohort of 59 patients included 36 males and 23 females, with a mean age of 55yo. A total of 30 patients were randomized to the steroid arm, and 29 to the control arm.  The comparison of </w:t>
      </w:r>
      <w:r w:rsidR="001B1EF5">
        <w:t xml:space="preserve">the </w:t>
      </w:r>
      <w:r>
        <w:t xml:space="preserve">demographic information across the 2 randomized branches revealed no significant difference in gender distribution, history of GERD, </w:t>
      </w:r>
      <w:proofErr w:type="spellStart"/>
      <w:r>
        <w:t>Charlson</w:t>
      </w:r>
      <w:proofErr w:type="spellEnd"/>
      <w:r>
        <w:t xml:space="preserve"> Comorbidity I</w:t>
      </w:r>
      <w:r w:rsidRPr="008C64A6">
        <w:t>ndex</w:t>
      </w:r>
      <w:r>
        <w:t xml:space="preserve"> (CCI) score, smoking status, or average age.  The Steroid arm had a significantly lower BMI than the Control arm (28.4 ± 5.6 kg/m</w:t>
      </w:r>
      <w:r w:rsidRPr="008A062B">
        <w:rPr>
          <w:vertAlign w:val="superscript"/>
        </w:rPr>
        <w:t>2</w:t>
      </w:r>
      <w:r>
        <w:t xml:space="preserve"> vs. 31.7 ± 5.96 kg/m</w:t>
      </w:r>
      <w:r w:rsidRPr="00DA6166">
        <w:rPr>
          <w:vertAlign w:val="superscript"/>
        </w:rPr>
        <w:t>2</w:t>
      </w:r>
      <w:r>
        <w:t>, p=0.032).</w:t>
      </w:r>
      <w:r w:rsidR="00D30DFD">
        <w:t xml:space="preserve"> </w:t>
      </w:r>
      <w:r w:rsidR="004D0615">
        <w:t xml:space="preserve">Three </w:t>
      </w:r>
      <w:r>
        <w:t>broad primary diagnosis categories</w:t>
      </w:r>
      <w:r w:rsidR="00D30DFD">
        <w:t xml:space="preserve"> were identified</w:t>
      </w:r>
      <w:r>
        <w:t xml:space="preserve"> </w:t>
      </w:r>
      <w:r w:rsidR="00D30DFD">
        <w:t xml:space="preserve">with no </w:t>
      </w:r>
      <w:r>
        <w:t>significant difference across the randomization arms: radiculopathy (</w:t>
      </w:r>
      <w:r w:rsidR="004D0615">
        <w:t>27</w:t>
      </w:r>
      <w:r>
        <w:t xml:space="preserve">), </w:t>
      </w:r>
      <w:proofErr w:type="spellStart"/>
      <w:r w:rsidR="003B1FEA">
        <w:t>myeloradiculopathy</w:t>
      </w:r>
      <w:proofErr w:type="spellEnd"/>
      <w:r>
        <w:t xml:space="preserve"> (</w:t>
      </w:r>
      <w:r w:rsidR="004D0615">
        <w:t>17</w:t>
      </w:r>
      <w:r>
        <w:t xml:space="preserve">), </w:t>
      </w:r>
      <w:proofErr w:type="gramStart"/>
      <w:r w:rsidR="004D0615">
        <w:t>myelopathy</w:t>
      </w:r>
      <w:proofErr w:type="gramEnd"/>
      <w:r w:rsidR="004D0615">
        <w:t xml:space="preserve"> (18)</w:t>
      </w:r>
      <w:r>
        <w:t xml:space="preserve"> </w:t>
      </w:r>
    </w:p>
    <w:p w14:paraId="56AA2333" w14:textId="18CABBDC" w:rsidR="00ED1DBF" w:rsidRDefault="00ED1DBF" w:rsidP="00ED1DBF">
      <w:pPr>
        <w:spacing w:after="0"/>
        <w:ind w:left="720"/>
      </w:pPr>
      <w:proofErr w:type="gramStart"/>
      <w:r w:rsidRPr="001342CE">
        <w:rPr>
          <w:rFonts w:eastAsia="Times New Roman" w:cs="Times New Roman"/>
          <w:b/>
          <w:bCs/>
          <w:color w:val="000000"/>
          <w:sz w:val="20"/>
          <w:szCs w:val="20"/>
        </w:rPr>
        <w:t xml:space="preserve">Table 1: </w:t>
      </w:r>
      <w:r>
        <w:rPr>
          <w:rFonts w:eastAsia="Times New Roman" w:cs="Times New Roman"/>
          <w:b/>
          <w:bCs/>
          <w:color w:val="000000"/>
          <w:sz w:val="20"/>
          <w:szCs w:val="20"/>
        </w:rPr>
        <w:t>Comparison of demographic data</w:t>
      </w:r>
      <w:r w:rsidR="00535315">
        <w:rPr>
          <w:rFonts w:eastAsia="Times New Roman" w:cs="Times New Roman"/>
          <w:b/>
          <w:bCs/>
          <w:color w:val="000000"/>
          <w:sz w:val="20"/>
          <w:szCs w:val="20"/>
        </w:rPr>
        <w:t xml:space="preserve"> between the Steroid and the Control arm.</w:t>
      </w:r>
      <w:proofErr w:type="gramEnd"/>
    </w:p>
    <w:tbl>
      <w:tblPr>
        <w:tblStyle w:val="LightGrid"/>
        <w:tblW w:w="0" w:type="auto"/>
        <w:tblInd w:w="720" w:type="dxa"/>
        <w:tblLook w:val="06A0" w:firstRow="1" w:lastRow="0" w:firstColumn="1" w:lastColumn="0" w:noHBand="1" w:noVBand="1"/>
      </w:tblPr>
      <w:tblGrid>
        <w:gridCol w:w="2718"/>
        <w:gridCol w:w="1547"/>
        <w:gridCol w:w="1526"/>
        <w:gridCol w:w="2169"/>
      </w:tblGrid>
      <w:tr w:rsidR="00ED1DBF" w:rsidRPr="00F17545" w14:paraId="3C6CE70A" w14:textId="77777777" w:rsidTr="00D30D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58153105" w14:textId="77777777" w:rsidR="00ED1DBF" w:rsidRPr="00F17545" w:rsidRDefault="00ED1DBF" w:rsidP="00915145">
            <w:pPr>
              <w:spacing w:line="240" w:lineRule="auto"/>
              <w:rPr>
                <w:rFonts w:asciiTheme="minorHAnsi" w:hAnsiTheme="minorHAnsi"/>
                <w:sz w:val="20"/>
                <w:szCs w:val="20"/>
              </w:rPr>
            </w:pPr>
          </w:p>
        </w:tc>
        <w:tc>
          <w:tcPr>
            <w:tcW w:w="1547" w:type="dxa"/>
          </w:tcPr>
          <w:p w14:paraId="40067052" w14:textId="77777777" w:rsidR="00ED1DBF" w:rsidRPr="00F17545" w:rsidRDefault="00ED1DBF" w:rsidP="00915145">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F17545">
              <w:rPr>
                <w:rFonts w:asciiTheme="minorHAnsi" w:hAnsiTheme="minorHAnsi"/>
                <w:sz w:val="20"/>
                <w:szCs w:val="20"/>
              </w:rPr>
              <w:t>Control</w:t>
            </w:r>
          </w:p>
        </w:tc>
        <w:tc>
          <w:tcPr>
            <w:tcW w:w="1526" w:type="dxa"/>
          </w:tcPr>
          <w:p w14:paraId="520FDC05" w14:textId="77777777" w:rsidR="00ED1DBF" w:rsidRPr="00F17545" w:rsidRDefault="00ED1DBF" w:rsidP="00915145">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F17545">
              <w:rPr>
                <w:rFonts w:asciiTheme="minorHAnsi" w:hAnsiTheme="minorHAnsi"/>
                <w:sz w:val="20"/>
                <w:szCs w:val="20"/>
              </w:rPr>
              <w:t>Steroid</w:t>
            </w:r>
          </w:p>
        </w:tc>
        <w:tc>
          <w:tcPr>
            <w:tcW w:w="2169" w:type="dxa"/>
          </w:tcPr>
          <w:p w14:paraId="45788AAD" w14:textId="77777777" w:rsidR="00ED1DBF" w:rsidRPr="00F17545" w:rsidRDefault="00ED1DBF" w:rsidP="00915145">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w:t>
            </w:r>
          </w:p>
        </w:tc>
      </w:tr>
      <w:tr w:rsidR="00ED1DBF" w:rsidRPr="00F17545" w14:paraId="67E6E000" w14:textId="77777777" w:rsidTr="00D30DFD">
        <w:tc>
          <w:tcPr>
            <w:cnfStyle w:val="001000000000" w:firstRow="0" w:lastRow="0" w:firstColumn="1" w:lastColumn="0" w:oddVBand="0" w:evenVBand="0" w:oddHBand="0" w:evenHBand="0" w:firstRowFirstColumn="0" w:firstRowLastColumn="0" w:lastRowFirstColumn="0" w:lastRowLastColumn="0"/>
            <w:tcW w:w="2718" w:type="dxa"/>
          </w:tcPr>
          <w:p w14:paraId="38E83C75" w14:textId="77777777" w:rsidR="00ED1DBF" w:rsidRPr="00F17545" w:rsidRDefault="00ED1DBF" w:rsidP="00915145">
            <w:pPr>
              <w:spacing w:line="240" w:lineRule="auto"/>
              <w:rPr>
                <w:rFonts w:asciiTheme="minorHAnsi" w:hAnsiTheme="minorHAnsi"/>
                <w:sz w:val="20"/>
                <w:szCs w:val="20"/>
              </w:rPr>
            </w:pPr>
            <w:r w:rsidRPr="00F17545">
              <w:rPr>
                <w:rFonts w:asciiTheme="minorHAnsi" w:hAnsiTheme="minorHAnsi"/>
                <w:sz w:val="20"/>
                <w:szCs w:val="20"/>
              </w:rPr>
              <w:t>Sex (% male)</w:t>
            </w:r>
          </w:p>
        </w:tc>
        <w:tc>
          <w:tcPr>
            <w:tcW w:w="1547" w:type="dxa"/>
          </w:tcPr>
          <w:p w14:paraId="40641578"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66%</w:t>
            </w:r>
          </w:p>
        </w:tc>
        <w:tc>
          <w:tcPr>
            <w:tcW w:w="1526" w:type="dxa"/>
          </w:tcPr>
          <w:p w14:paraId="5A986293"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57%</w:t>
            </w:r>
          </w:p>
        </w:tc>
        <w:tc>
          <w:tcPr>
            <w:tcW w:w="2169" w:type="dxa"/>
          </w:tcPr>
          <w:p w14:paraId="230A9445"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.334</w:t>
            </w:r>
          </w:p>
        </w:tc>
      </w:tr>
      <w:tr w:rsidR="00ED1DBF" w:rsidRPr="00F17545" w14:paraId="204704D6" w14:textId="77777777" w:rsidTr="00D30DFD">
        <w:tc>
          <w:tcPr>
            <w:cnfStyle w:val="001000000000" w:firstRow="0" w:lastRow="0" w:firstColumn="1" w:lastColumn="0" w:oddVBand="0" w:evenVBand="0" w:oddHBand="0" w:evenHBand="0" w:firstRowFirstColumn="0" w:firstRowLastColumn="0" w:lastRowFirstColumn="0" w:lastRowLastColumn="0"/>
            <w:tcW w:w="2718" w:type="dxa"/>
          </w:tcPr>
          <w:p w14:paraId="1F2C3E0A" w14:textId="77777777" w:rsidR="00ED1DBF" w:rsidRPr="00F17545" w:rsidRDefault="00ED1DBF" w:rsidP="00915145">
            <w:pPr>
              <w:spacing w:line="240" w:lineRule="auto"/>
              <w:rPr>
                <w:rFonts w:asciiTheme="minorHAnsi" w:hAnsiTheme="minorHAnsi"/>
                <w:sz w:val="20"/>
                <w:szCs w:val="20"/>
              </w:rPr>
            </w:pPr>
            <w:r w:rsidRPr="00F17545">
              <w:rPr>
                <w:rFonts w:asciiTheme="minorHAnsi" w:hAnsiTheme="minorHAnsi"/>
                <w:sz w:val="20"/>
                <w:szCs w:val="20"/>
              </w:rPr>
              <w:t>Age</w:t>
            </w:r>
          </w:p>
        </w:tc>
        <w:tc>
          <w:tcPr>
            <w:tcW w:w="1547" w:type="dxa"/>
          </w:tcPr>
          <w:p w14:paraId="7F54B788" w14:textId="77777777" w:rsidR="00ED1DBF" w:rsidRPr="00C30F87"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pPr>
            <w:r>
              <w:rPr>
                <w:sz w:val="20"/>
                <w:szCs w:val="20"/>
              </w:rPr>
              <w:t xml:space="preserve">55.5 </w:t>
            </w:r>
            <w:r w:rsidRPr="00494555">
              <w:rPr>
                <w:sz w:val="20"/>
              </w:rPr>
              <w:t>±</w:t>
            </w:r>
            <w:r>
              <w:rPr>
                <w:sz w:val="20"/>
              </w:rPr>
              <w:t>11</w:t>
            </w:r>
            <w:r>
              <w:t>.1</w:t>
            </w:r>
          </w:p>
        </w:tc>
        <w:tc>
          <w:tcPr>
            <w:tcW w:w="1526" w:type="dxa"/>
          </w:tcPr>
          <w:p w14:paraId="7011DB8F"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55.6 </w:t>
            </w:r>
            <w:r w:rsidRPr="00494555">
              <w:rPr>
                <w:sz w:val="20"/>
              </w:rPr>
              <w:t>±</w:t>
            </w:r>
            <w:r>
              <w:rPr>
                <w:sz w:val="20"/>
              </w:rPr>
              <w:t xml:space="preserve"> 9.9</w:t>
            </w:r>
          </w:p>
        </w:tc>
        <w:tc>
          <w:tcPr>
            <w:tcW w:w="2169" w:type="dxa"/>
          </w:tcPr>
          <w:p w14:paraId="7820E03A"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.992</w:t>
            </w:r>
          </w:p>
        </w:tc>
      </w:tr>
      <w:tr w:rsidR="00ED1DBF" w:rsidRPr="00F17545" w14:paraId="07BBCFB7" w14:textId="77777777" w:rsidTr="00D30DFD">
        <w:tc>
          <w:tcPr>
            <w:cnfStyle w:val="001000000000" w:firstRow="0" w:lastRow="0" w:firstColumn="1" w:lastColumn="0" w:oddVBand="0" w:evenVBand="0" w:oddHBand="0" w:evenHBand="0" w:firstRowFirstColumn="0" w:firstRowLastColumn="0" w:lastRowFirstColumn="0" w:lastRowLastColumn="0"/>
            <w:tcW w:w="2718" w:type="dxa"/>
          </w:tcPr>
          <w:p w14:paraId="5F9151A5" w14:textId="77777777" w:rsidR="00ED1DBF" w:rsidRPr="00F17545" w:rsidRDefault="00ED1DBF" w:rsidP="00915145">
            <w:pPr>
              <w:spacing w:line="240" w:lineRule="auto"/>
              <w:rPr>
                <w:rFonts w:asciiTheme="minorHAnsi" w:hAnsiTheme="minorHAnsi"/>
                <w:sz w:val="20"/>
                <w:szCs w:val="20"/>
              </w:rPr>
            </w:pPr>
            <w:r w:rsidRPr="00F17545">
              <w:rPr>
                <w:rFonts w:asciiTheme="minorHAnsi" w:hAnsiTheme="minorHAnsi"/>
                <w:sz w:val="20"/>
                <w:szCs w:val="20"/>
              </w:rPr>
              <w:t>History of GERD</w:t>
            </w:r>
          </w:p>
        </w:tc>
        <w:tc>
          <w:tcPr>
            <w:tcW w:w="1547" w:type="dxa"/>
          </w:tcPr>
          <w:p w14:paraId="64F600DA"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w:t>
            </w:r>
          </w:p>
        </w:tc>
        <w:tc>
          <w:tcPr>
            <w:tcW w:w="1526" w:type="dxa"/>
          </w:tcPr>
          <w:p w14:paraId="4C8BAA33"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c>
          <w:tcPr>
            <w:tcW w:w="2169" w:type="dxa"/>
          </w:tcPr>
          <w:p w14:paraId="250D3BCC"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.580</w:t>
            </w:r>
          </w:p>
        </w:tc>
      </w:tr>
      <w:tr w:rsidR="00ED1DBF" w:rsidRPr="00F17545" w14:paraId="134EE802" w14:textId="77777777" w:rsidTr="00D30DFD">
        <w:tc>
          <w:tcPr>
            <w:cnfStyle w:val="001000000000" w:firstRow="0" w:lastRow="0" w:firstColumn="1" w:lastColumn="0" w:oddVBand="0" w:evenVBand="0" w:oddHBand="0" w:evenHBand="0" w:firstRowFirstColumn="0" w:firstRowLastColumn="0" w:lastRowFirstColumn="0" w:lastRowLastColumn="0"/>
            <w:tcW w:w="2718" w:type="dxa"/>
          </w:tcPr>
          <w:p w14:paraId="4B1C4159" w14:textId="77777777" w:rsidR="00ED1DBF" w:rsidRPr="00F17545" w:rsidRDefault="00ED1DBF" w:rsidP="00915145">
            <w:pPr>
              <w:spacing w:line="240" w:lineRule="auto"/>
              <w:rPr>
                <w:rFonts w:asciiTheme="minorHAnsi" w:hAnsiTheme="minorHAnsi"/>
                <w:sz w:val="20"/>
                <w:szCs w:val="20"/>
              </w:rPr>
            </w:pPr>
            <w:r w:rsidRPr="00F17545">
              <w:rPr>
                <w:rFonts w:asciiTheme="minorHAnsi" w:hAnsiTheme="minorHAnsi"/>
                <w:sz w:val="20"/>
                <w:szCs w:val="20"/>
              </w:rPr>
              <w:t>Smokers</w:t>
            </w:r>
            <w:r>
              <w:rPr>
                <w:rFonts w:asciiTheme="minorHAnsi" w:hAnsiTheme="minorHAnsi"/>
                <w:sz w:val="20"/>
                <w:szCs w:val="20"/>
              </w:rPr>
              <w:t xml:space="preserve"> (Current)</w:t>
            </w:r>
          </w:p>
        </w:tc>
        <w:tc>
          <w:tcPr>
            <w:tcW w:w="1547" w:type="dxa"/>
          </w:tcPr>
          <w:p w14:paraId="1603D112"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 (3)</w:t>
            </w:r>
          </w:p>
        </w:tc>
        <w:tc>
          <w:tcPr>
            <w:tcW w:w="1526" w:type="dxa"/>
          </w:tcPr>
          <w:p w14:paraId="2B785BEF"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 (2)</w:t>
            </w:r>
          </w:p>
        </w:tc>
        <w:tc>
          <w:tcPr>
            <w:tcW w:w="2169" w:type="dxa"/>
          </w:tcPr>
          <w:p w14:paraId="436BA2BC"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.589</w:t>
            </w:r>
          </w:p>
        </w:tc>
      </w:tr>
      <w:tr w:rsidR="00ED1DBF" w:rsidRPr="00F17545" w14:paraId="16B69A96" w14:textId="77777777" w:rsidTr="00D30DFD">
        <w:tc>
          <w:tcPr>
            <w:cnfStyle w:val="001000000000" w:firstRow="0" w:lastRow="0" w:firstColumn="1" w:lastColumn="0" w:oddVBand="0" w:evenVBand="0" w:oddHBand="0" w:evenHBand="0" w:firstRowFirstColumn="0" w:firstRowLastColumn="0" w:lastRowFirstColumn="0" w:lastRowLastColumn="0"/>
            <w:tcW w:w="2718" w:type="dxa"/>
          </w:tcPr>
          <w:p w14:paraId="552742CE" w14:textId="77777777" w:rsidR="00ED1DBF" w:rsidRPr="00F17545" w:rsidRDefault="00ED1DBF" w:rsidP="00915145">
            <w:pPr>
              <w:spacing w:line="240" w:lineRule="auto"/>
              <w:rPr>
                <w:rFonts w:asciiTheme="minorHAnsi" w:hAnsiTheme="minorHAnsi"/>
                <w:sz w:val="20"/>
                <w:szCs w:val="20"/>
              </w:rPr>
            </w:pPr>
            <w:r w:rsidRPr="00F17545">
              <w:rPr>
                <w:rFonts w:asciiTheme="minorHAnsi" w:hAnsiTheme="minorHAnsi"/>
                <w:sz w:val="20"/>
                <w:szCs w:val="20"/>
              </w:rPr>
              <w:t>BMI (kg/m</w:t>
            </w:r>
            <w:r w:rsidRPr="00F17545">
              <w:rPr>
                <w:rFonts w:asciiTheme="minorHAnsi" w:hAnsiTheme="minorHAnsi"/>
                <w:sz w:val="20"/>
                <w:szCs w:val="20"/>
                <w:vertAlign w:val="superscript"/>
              </w:rPr>
              <w:t>2</w:t>
            </w:r>
            <w:r w:rsidRPr="00F17545">
              <w:rPr>
                <w:rFonts w:asciiTheme="minorHAnsi" w:hAnsiTheme="minorHAnsi"/>
                <w:sz w:val="20"/>
                <w:szCs w:val="20"/>
              </w:rPr>
              <w:t>)</w:t>
            </w:r>
          </w:p>
        </w:tc>
        <w:tc>
          <w:tcPr>
            <w:tcW w:w="1547" w:type="dxa"/>
          </w:tcPr>
          <w:p w14:paraId="5E3ACDDF" w14:textId="77777777" w:rsidR="00ED1DBF" w:rsidRPr="0049455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494555">
              <w:rPr>
                <w:sz w:val="20"/>
              </w:rPr>
              <w:t>31.7 ± 5.96</w:t>
            </w:r>
          </w:p>
        </w:tc>
        <w:tc>
          <w:tcPr>
            <w:tcW w:w="1526" w:type="dxa"/>
          </w:tcPr>
          <w:p w14:paraId="10F8D994" w14:textId="77777777" w:rsidR="00ED1DBF" w:rsidRPr="0049455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494555">
              <w:rPr>
                <w:sz w:val="20"/>
              </w:rPr>
              <w:t>28.4 ± 5.6</w:t>
            </w:r>
          </w:p>
        </w:tc>
        <w:tc>
          <w:tcPr>
            <w:tcW w:w="2169" w:type="dxa"/>
          </w:tcPr>
          <w:p w14:paraId="35BFB604"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.032</w:t>
            </w:r>
          </w:p>
        </w:tc>
      </w:tr>
      <w:tr w:rsidR="00ED1DBF" w:rsidRPr="00F17545" w14:paraId="42DC5DBA" w14:textId="77777777" w:rsidTr="00D30DFD">
        <w:tc>
          <w:tcPr>
            <w:cnfStyle w:val="001000000000" w:firstRow="0" w:lastRow="0" w:firstColumn="1" w:lastColumn="0" w:oddVBand="0" w:evenVBand="0" w:oddHBand="0" w:evenHBand="0" w:firstRowFirstColumn="0" w:firstRowLastColumn="0" w:lastRowFirstColumn="0" w:lastRowLastColumn="0"/>
            <w:tcW w:w="2718" w:type="dxa"/>
            <w:shd w:val="clear" w:color="auto" w:fill="C6D9F1" w:themeFill="text2" w:themeFillTint="33"/>
          </w:tcPr>
          <w:p w14:paraId="76552BE1" w14:textId="77777777" w:rsidR="00ED1DBF" w:rsidRPr="00F17545" w:rsidRDefault="00ED1DBF" w:rsidP="00915145">
            <w:pPr>
              <w:spacing w:line="240" w:lineRule="auto"/>
              <w:rPr>
                <w:rFonts w:asciiTheme="minorHAnsi" w:hAnsiTheme="minorHAnsi"/>
                <w:sz w:val="20"/>
                <w:szCs w:val="20"/>
              </w:rPr>
            </w:pPr>
            <w:r w:rsidRPr="00F17545">
              <w:rPr>
                <w:rFonts w:asciiTheme="minorHAnsi" w:hAnsiTheme="minorHAnsi"/>
                <w:sz w:val="20"/>
                <w:szCs w:val="20"/>
              </w:rPr>
              <w:t>Diagnosis</w:t>
            </w:r>
            <w:r>
              <w:rPr>
                <w:rFonts w:asciiTheme="minorHAnsi" w:hAnsiTheme="minorHAnsi"/>
                <w:sz w:val="20"/>
                <w:szCs w:val="20"/>
              </w:rPr>
              <w:t xml:space="preserve"> (n)</w:t>
            </w:r>
          </w:p>
        </w:tc>
        <w:tc>
          <w:tcPr>
            <w:tcW w:w="1547" w:type="dxa"/>
            <w:shd w:val="clear" w:color="auto" w:fill="C6D9F1" w:themeFill="text2" w:themeFillTint="33"/>
          </w:tcPr>
          <w:p w14:paraId="3C814A34"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26" w:type="dxa"/>
            <w:shd w:val="clear" w:color="auto" w:fill="C6D9F1" w:themeFill="text2" w:themeFillTint="33"/>
          </w:tcPr>
          <w:p w14:paraId="47088348"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169" w:type="dxa"/>
            <w:shd w:val="clear" w:color="auto" w:fill="C6D9F1" w:themeFill="text2" w:themeFillTint="33"/>
          </w:tcPr>
          <w:p w14:paraId="2CA14B8E"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ED1DBF" w:rsidRPr="00F17545" w14:paraId="22E5DD5C" w14:textId="77777777" w:rsidTr="00D30DFD">
        <w:tc>
          <w:tcPr>
            <w:cnfStyle w:val="001000000000" w:firstRow="0" w:lastRow="0" w:firstColumn="1" w:lastColumn="0" w:oddVBand="0" w:evenVBand="0" w:oddHBand="0" w:evenHBand="0" w:firstRowFirstColumn="0" w:firstRowLastColumn="0" w:lastRowFirstColumn="0" w:lastRowLastColumn="0"/>
            <w:tcW w:w="2718" w:type="dxa"/>
          </w:tcPr>
          <w:p w14:paraId="1B048BEE" w14:textId="77777777" w:rsidR="00ED1DBF" w:rsidRPr="00CC430F" w:rsidRDefault="00ED1DBF" w:rsidP="00915145">
            <w:pPr>
              <w:spacing w:line="240" w:lineRule="auto"/>
              <w:ind w:left="470"/>
              <w:rPr>
                <w:rFonts w:asciiTheme="minorHAnsi" w:hAnsiTheme="minorHAnsi"/>
                <w:b w:val="0"/>
                <w:sz w:val="20"/>
                <w:szCs w:val="20"/>
              </w:rPr>
            </w:pPr>
            <w:r w:rsidRPr="00CC430F">
              <w:rPr>
                <w:rFonts w:asciiTheme="minorHAnsi" w:hAnsiTheme="minorHAnsi"/>
                <w:b w:val="0"/>
                <w:sz w:val="20"/>
                <w:szCs w:val="20"/>
              </w:rPr>
              <w:t>Radiculopathy</w:t>
            </w:r>
          </w:p>
        </w:tc>
        <w:tc>
          <w:tcPr>
            <w:tcW w:w="1547" w:type="dxa"/>
          </w:tcPr>
          <w:p w14:paraId="1878D765"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c>
          <w:tcPr>
            <w:tcW w:w="1526" w:type="dxa"/>
          </w:tcPr>
          <w:p w14:paraId="6EEBFE6D"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w:t>
            </w:r>
          </w:p>
        </w:tc>
        <w:tc>
          <w:tcPr>
            <w:tcW w:w="2169" w:type="dxa"/>
            <w:vMerge w:val="restart"/>
            <w:vAlign w:val="center"/>
          </w:tcPr>
          <w:p w14:paraId="6E8C9966"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.486</w:t>
            </w:r>
          </w:p>
        </w:tc>
      </w:tr>
      <w:tr w:rsidR="00ED1DBF" w:rsidRPr="00F17545" w14:paraId="7014E498" w14:textId="77777777" w:rsidTr="00D30DFD">
        <w:tc>
          <w:tcPr>
            <w:cnfStyle w:val="001000000000" w:firstRow="0" w:lastRow="0" w:firstColumn="1" w:lastColumn="0" w:oddVBand="0" w:evenVBand="0" w:oddHBand="0" w:evenHBand="0" w:firstRowFirstColumn="0" w:firstRowLastColumn="0" w:lastRowFirstColumn="0" w:lastRowLastColumn="0"/>
            <w:tcW w:w="2718" w:type="dxa"/>
          </w:tcPr>
          <w:p w14:paraId="6769DD46" w14:textId="77777777" w:rsidR="00ED1DBF" w:rsidRPr="00CC430F" w:rsidRDefault="00ED1DBF" w:rsidP="00915145">
            <w:pPr>
              <w:spacing w:line="240" w:lineRule="auto"/>
              <w:ind w:left="470"/>
              <w:rPr>
                <w:rFonts w:asciiTheme="minorHAnsi" w:hAnsiTheme="minorHAnsi"/>
                <w:b w:val="0"/>
                <w:sz w:val="20"/>
                <w:szCs w:val="20"/>
              </w:rPr>
            </w:pPr>
            <w:proofErr w:type="spellStart"/>
            <w:r w:rsidRPr="00CC430F">
              <w:rPr>
                <w:rFonts w:asciiTheme="minorHAnsi" w:hAnsiTheme="minorHAnsi"/>
                <w:b w:val="0"/>
                <w:sz w:val="20"/>
                <w:szCs w:val="20"/>
              </w:rPr>
              <w:t>Myelo</w:t>
            </w:r>
            <w:proofErr w:type="spellEnd"/>
            <w:r w:rsidR="00D30DFD">
              <w:rPr>
                <w:rFonts w:asciiTheme="minorHAnsi" w:hAnsiTheme="minorHAnsi"/>
                <w:b w:val="0"/>
                <w:sz w:val="20"/>
                <w:szCs w:val="20"/>
              </w:rPr>
              <w:t>-</w:t>
            </w:r>
            <w:r w:rsidRPr="00CC430F">
              <w:rPr>
                <w:rFonts w:asciiTheme="minorHAnsi" w:hAnsiTheme="minorHAnsi"/>
                <w:b w:val="0"/>
                <w:sz w:val="20"/>
                <w:szCs w:val="20"/>
              </w:rPr>
              <w:t>radiculopathy</w:t>
            </w:r>
          </w:p>
        </w:tc>
        <w:tc>
          <w:tcPr>
            <w:tcW w:w="1547" w:type="dxa"/>
          </w:tcPr>
          <w:p w14:paraId="635AB1E0"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c>
          <w:tcPr>
            <w:tcW w:w="1526" w:type="dxa"/>
          </w:tcPr>
          <w:p w14:paraId="2966CA59"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tcW w:w="2169" w:type="dxa"/>
            <w:vMerge/>
          </w:tcPr>
          <w:p w14:paraId="676D885A" w14:textId="77777777" w:rsidR="00ED1DBF" w:rsidRPr="00F17545" w:rsidRDefault="00ED1DBF" w:rsidP="00915145">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ED1DBF" w:rsidRPr="00F17545" w14:paraId="4666C49B" w14:textId="77777777" w:rsidTr="00D30DFD">
        <w:tc>
          <w:tcPr>
            <w:cnfStyle w:val="001000000000" w:firstRow="0" w:lastRow="0" w:firstColumn="1" w:lastColumn="0" w:oddVBand="0" w:evenVBand="0" w:oddHBand="0" w:evenHBand="0" w:firstRowFirstColumn="0" w:firstRowLastColumn="0" w:lastRowFirstColumn="0" w:lastRowLastColumn="0"/>
            <w:tcW w:w="2718" w:type="dxa"/>
          </w:tcPr>
          <w:p w14:paraId="6C929DBE" w14:textId="2AD89A15" w:rsidR="00ED1DBF" w:rsidRPr="00CC430F" w:rsidRDefault="00ED1DBF" w:rsidP="00915145">
            <w:pPr>
              <w:spacing w:line="240" w:lineRule="auto"/>
              <w:ind w:left="470"/>
              <w:rPr>
                <w:rFonts w:asciiTheme="minorHAnsi" w:hAnsiTheme="minorHAnsi"/>
                <w:b w:val="0"/>
                <w:sz w:val="20"/>
                <w:szCs w:val="20"/>
              </w:rPr>
            </w:pPr>
            <w:r>
              <w:rPr>
                <w:rFonts w:asciiTheme="minorHAnsi" w:hAnsiTheme="minorHAnsi"/>
                <w:b w:val="0"/>
                <w:sz w:val="20"/>
                <w:szCs w:val="20"/>
              </w:rPr>
              <w:t>Myelopathy</w:t>
            </w:r>
          </w:p>
        </w:tc>
        <w:tc>
          <w:tcPr>
            <w:tcW w:w="1547" w:type="dxa"/>
          </w:tcPr>
          <w:p w14:paraId="4FBA6C0C"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w:t>
            </w:r>
          </w:p>
        </w:tc>
        <w:tc>
          <w:tcPr>
            <w:tcW w:w="1526" w:type="dxa"/>
          </w:tcPr>
          <w:p w14:paraId="3DCFE319" w14:textId="77777777" w:rsidR="00ED1DBF" w:rsidRPr="00F17545" w:rsidRDefault="00ED1DBF" w:rsidP="0091514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c>
          <w:tcPr>
            <w:tcW w:w="2169" w:type="dxa"/>
            <w:vMerge/>
          </w:tcPr>
          <w:p w14:paraId="6B480EA5" w14:textId="77777777" w:rsidR="00ED1DBF" w:rsidRPr="00F17545" w:rsidRDefault="00ED1DBF" w:rsidP="00915145">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bl>
    <w:p w14:paraId="721F16FA" w14:textId="77777777" w:rsidR="00ED1DBF" w:rsidRDefault="00ED1DBF" w:rsidP="00ED1DBF"/>
    <w:p w14:paraId="2DC16570" w14:textId="66FE2399" w:rsidR="00ED1DBF" w:rsidRPr="00FA1541" w:rsidRDefault="00ED1DBF" w:rsidP="00ED1DBF">
      <w:pPr>
        <w:pStyle w:val="Heading3"/>
      </w:pPr>
      <w:r w:rsidRPr="00FA1541">
        <w:t xml:space="preserve">Surgical </w:t>
      </w:r>
      <w:r>
        <w:t xml:space="preserve">Data and </w:t>
      </w:r>
      <w:r w:rsidR="00413CD8">
        <w:t>L</w:t>
      </w:r>
      <w:r>
        <w:t xml:space="preserve">ength of </w:t>
      </w:r>
      <w:r w:rsidR="00413CD8">
        <w:t>S</w:t>
      </w:r>
      <w:r>
        <w:t>tay (Table 2)</w:t>
      </w:r>
    </w:p>
    <w:p w14:paraId="6F5D53D3" w14:textId="3EA897BF" w:rsidR="00ED1DBF" w:rsidRDefault="00ED1DBF" w:rsidP="00ED1DBF">
      <w:r>
        <w:t xml:space="preserve">The average number of levels fused for the steroid and control arm was 2.47 ± .68 and 2.59 ±.63 </w:t>
      </w:r>
      <w:r w:rsidRPr="00A24D3F">
        <w:t xml:space="preserve">respectively (p=0.486). The distribution of number of levels fused revealed that 52% of the control arm underwent a </w:t>
      </w:r>
      <w:r w:rsidR="007516CC">
        <w:t>&gt;</w:t>
      </w:r>
      <w:r w:rsidRPr="00A24D3F">
        <w:t xml:space="preserve">2 level </w:t>
      </w:r>
      <w:r w:rsidR="007516CC">
        <w:t>surgery</w:t>
      </w:r>
      <w:r w:rsidR="007516CC" w:rsidRPr="00A24D3F">
        <w:t xml:space="preserve"> </w:t>
      </w:r>
      <w:r w:rsidRPr="00A24D3F">
        <w:t>and</w:t>
      </w:r>
      <w:r>
        <w:t xml:space="preserve"> 33% of the steroid arm underwent a </w:t>
      </w:r>
      <w:r w:rsidR="007516CC">
        <w:t>&gt;</w:t>
      </w:r>
      <w:r>
        <w:t xml:space="preserve">2 level </w:t>
      </w:r>
      <w:r w:rsidR="007516CC">
        <w:t xml:space="preserve">surgery. </w:t>
      </w:r>
      <w:r w:rsidR="00D83CFC">
        <w:t xml:space="preserve">The Steroid and </w:t>
      </w:r>
      <w:r w:rsidR="00D83CFC">
        <w:lastRenderedPageBreak/>
        <w:t xml:space="preserve">control group each had one patient that underwent an anterior/posterior fusion, and the control group had 2 patients that underwent </w:t>
      </w:r>
      <w:proofErr w:type="spellStart"/>
      <w:r w:rsidR="00D83CFC">
        <w:t>cor</w:t>
      </w:r>
      <w:r w:rsidR="00E71446">
        <w:t>p</w:t>
      </w:r>
      <w:r w:rsidR="00D83CFC">
        <w:t>ectomies</w:t>
      </w:r>
      <w:proofErr w:type="spellEnd"/>
      <w:r w:rsidR="00D83CFC">
        <w:t xml:space="preserve">. </w:t>
      </w:r>
    </w:p>
    <w:p w14:paraId="6A65B332" w14:textId="75015AB6" w:rsidR="00ED1DBF" w:rsidRDefault="00ED1DBF" w:rsidP="00ED1DBF">
      <w:r>
        <w:t>The average operative time for the entire cohort, steroid and control arm was 144±42, 132±39, and 157±42 minutes</w:t>
      </w:r>
      <w:r w:rsidR="00F3181D">
        <w:t>,</w:t>
      </w:r>
      <w:r>
        <w:t xml:space="preserve"> respectively.</w:t>
      </w:r>
      <w:r w:rsidR="007D6913">
        <w:t xml:space="preserve"> The i</w:t>
      </w:r>
      <w:r>
        <w:t xml:space="preserve">ndependent </w:t>
      </w:r>
      <w:r w:rsidR="007D6913">
        <w:t>t</w:t>
      </w:r>
      <w:r>
        <w:t xml:space="preserve">-test revealed that the </w:t>
      </w:r>
      <w:r w:rsidR="00413CD8">
        <w:t>C</w:t>
      </w:r>
      <w:r>
        <w:t xml:space="preserve">ontrol arm operative time was significantly longer than the </w:t>
      </w:r>
      <w:r w:rsidR="00413CD8">
        <w:t>S</w:t>
      </w:r>
      <w:r>
        <w:t>teroid arm (+25 minutes). However, no significant differences were found when</w:t>
      </w:r>
      <w:r w:rsidR="007516CC">
        <w:t xml:space="preserve"> </w:t>
      </w:r>
      <w:r w:rsidR="008202FE">
        <w:t xml:space="preserve">the </w:t>
      </w:r>
      <w:r w:rsidR="00377C3D">
        <w:t>individual</w:t>
      </w:r>
      <w:r>
        <w:t xml:space="preserve"> average operative times for 2</w:t>
      </w:r>
      <w:r w:rsidR="00413CD8">
        <w:t>-</w:t>
      </w:r>
      <w:r>
        <w:t>, 3</w:t>
      </w:r>
      <w:r w:rsidR="00413CD8">
        <w:t>-</w:t>
      </w:r>
      <w:r>
        <w:t>, and 4</w:t>
      </w:r>
      <w:r w:rsidR="00413CD8">
        <w:t>-</w:t>
      </w:r>
      <w:r>
        <w:t xml:space="preserve"> level fusions were compared between the groups. </w:t>
      </w:r>
    </w:p>
    <w:p w14:paraId="5A987495" w14:textId="5001F83E" w:rsidR="00ED1DBF" w:rsidRDefault="00ED1DBF" w:rsidP="00ED1DBF">
      <w:r>
        <w:t>There was a trend (p=0.058) for the Steroid arm to have a shorter length of stay</w:t>
      </w:r>
      <w:r w:rsidR="008202FE">
        <w:t>, LOS</w:t>
      </w:r>
      <w:r>
        <w:t xml:space="preserve"> (1.99±0.9 days vs. 2.96±2.5 days) than the Control arm. The independent </w:t>
      </w:r>
      <w:r w:rsidR="008202FE">
        <w:t>t</w:t>
      </w:r>
      <w:r>
        <w:t>-test was repeated after</w:t>
      </w:r>
      <w:r w:rsidR="008202FE">
        <w:t xml:space="preserve"> the</w:t>
      </w:r>
      <w:r>
        <w:t xml:space="preserve"> patients with unrelated extended LOS were removed (1 patient for</w:t>
      </w:r>
      <w:r w:rsidR="00413CD8">
        <w:t xml:space="preserve"> a</w:t>
      </w:r>
      <w:r>
        <w:t xml:space="preserve"> psychiatric issue, 1 for</w:t>
      </w:r>
      <w:r w:rsidR="00413CD8">
        <w:t xml:space="preserve"> an</w:t>
      </w:r>
      <w:r>
        <w:t xml:space="preserve"> issue </w:t>
      </w:r>
      <w:r w:rsidR="00413CD8">
        <w:t xml:space="preserve">related </w:t>
      </w:r>
      <w:proofErr w:type="gramStart"/>
      <w:r w:rsidR="00413CD8">
        <w:t xml:space="preserve">to  </w:t>
      </w:r>
      <w:r>
        <w:t>clotting</w:t>
      </w:r>
      <w:proofErr w:type="gramEnd"/>
      <w:r>
        <w:t xml:space="preserve"> medication), and no significant difference for</w:t>
      </w:r>
      <w:r w:rsidR="008202FE">
        <w:t xml:space="preserve"> the</w:t>
      </w:r>
      <w:r>
        <w:t xml:space="preserve"> average LOS was found (Control arm=2.4±1.1 days vs. Steroid Arm=1.99±0.9, p=0.114)</w:t>
      </w:r>
    </w:p>
    <w:p w14:paraId="350D1904" w14:textId="74325EA1" w:rsidR="00ED1DBF" w:rsidRPr="00CC430F" w:rsidRDefault="00ED1DBF" w:rsidP="00ED1DBF">
      <w:pPr>
        <w:spacing w:after="0"/>
        <w:ind w:left="720"/>
        <w:rPr>
          <w:rFonts w:eastAsia="Times New Roman" w:cs="Times New Roman"/>
          <w:b/>
          <w:bCs/>
          <w:color w:val="000000"/>
          <w:sz w:val="20"/>
          <w:szCs w:val="20"/>
        </w:rPr>
      </w:pPr>
      <w:proofErr w:type="gramStart"/>
      <w:r w:rsidRPr="001342CE">
        <w:rPr>
          <w:rFonts w:eastAsia="Times New Roman" w:cs="Times New Roman"/>
          <w:b/>
          <w:bCs/>
          <w:color w:val="000000"/>
          <w:sz w:val="20"/>
          <w:szCs w:val="20"/>
        </w:rPr>
        <w:t xml:space="preserve">Table </w:t>
      </w:r>
      <w:r>
        <w:rPr>
          <w:rFonts w:eastAsia="Times New Roman" w:cs="Times New Roman"/>
          <w:b/>
          <w:bCs/>
          <w:color w:val="000000"/>
          <w:sz w:val="20"/>
          <w:szCs w:val="20"/>
        </w:rPr>
        <w:t>2</w:t>
      </w:r>
      <w:r w:rsidRPr="001342CE">
        <w:rPr>
          <w:rFonts w:eastAsia="Times New Roman" w:cs="Times New Roman"/>
          <w:b/>
          <w:bCs/>
          <w:color w:val="000000"/>
          <w:sz w:val="20"/>
          <w:szCs w:val="20"/>
        </w:rPr>
        <w:t xml:space="preserve">: </w:t>
      </w:r>
      <w:r>
        <w:rPr>
          <w:rFonts w:eastAsia="Times New Roman" w:cs="Times New Roman"/>
          <w:b/>
          <w:bCs/>
          <w:color w:val="000000"/>
          <w:sz w:val="20"/>
          <w:szCs w:val="20"/>
        </w:rPr>
        <w:t>Comparison of surgical data</w:t>
      </w:r>
      <w:r w:rsidR="00A946E6">
        <w:rPr>
          <w:rFonts w:eastAsia="Times New Roman" w:cs="Times New Roman"/>
          <w:b/>
          <w:bCs/>
          <w:color w:val="000000"/>
          <w:sz w:val="20"/>
          <w:szCs w:val="20"/>
        </w:rPr>
        <w:t xml:space="preserve"> between</w:t>
      </w:r>
      <w:r w:rsidR="008F705C">
        <w:rPr>
          <w:rFonts w:eastAsia="Times New Roman" w:cs="Times New Roman"/>
          <w:b/>
          <w:bCs/>
          <w:color w:val="000000"/>
          <w:sz w:val="20"/>
          <w:szCs w:val="20"/>
        </w:rPr>
        <w:t xml:space="preserve"> the Steroid and the Control arms.</w:t>
      </w:r>
      <w:proofErr w:type="gramEnd"/>
    </w:p>
    <w:tbl>
      <w:tblPr>
        <w:tblStyle w:val="LightGrid"/>
        <w:tblW w:w="8395" w:type="dxa"/>
        <w:tblInd w:w="720" w:type="dxa"/>
        <w:tblLook w:val="06A0" w:firstRow="1" w:lastRow="0" w:firstColumn="1" w:lastColumn="0" w:noHBand="1" w:noVBand="1"/>
      </w:tblPr>
      <w:tblGrid>
        <w:gridCol w:w="2244"/>
        <w:gridCol w:w="1376"/>
        <w:gridCol w:w="1640"/>
        <w:gridCol w:w="3135"/>
      </w:tblGrid>
      <w:tr w:rsidR="00ED1DBF" w:rsidRPr="00F17545" w14:paraId="06E2E1D5" w14:textId="77777777" w:rsidTr="00D30D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Pr>
          <w:p w14:paraId="52858FC9" w14:textId="77777777" w:rsidR="00ED1DBF" w:rsidRPr="00F17545" w:rsidRDefault="00ED1DBF" w:rsidP="00ED7E9D">
            <w:pPr>
              <w:spacing w:line="276" w:lineRule="auto"/>
              <w:jc w:val="left"/>
              <w:rPr>
                <w:rFonts w:ascii="Calibri" w:hAnsi="Calibri"/>
                <w:sz w:val="20"/>
                <w:szCs w:val="20"/>
              </w:rPr>
            </w:pPr>
          </w:p>
        </w:tc>
        <w:tc>
          <w:tcPr>
            <w:tcW w:w="1376" w:type="dxa"/>
          </w:tcPr>
          <w:p w14:paraId="68E9E9FC" w14:textId="77777777" w:rsidR="00ED1DBF" w:rsidRPr="00F17545" w:rsidRDefault="00ED1DBF" w:rsidP="00ED7E9D">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Control</w:t>
            </w:r>
          </w:p>
        </w:tc>
        <w:tc>
          <w:tcPr>
            <w:tcW w:w="1640" w:type="dxa"/>
          </w:tcPr>
          <w:p w14:paraId="70C24BD3" w14:textId="77777777" w:rsidR="00ED1DBF" w:rsidRPr="00F17545" w:rsidRDefault="00ED1DBF" w:rsidP="00ED7E9D">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 xml:space="preserve">Steroid </w:t>
            </w:r>
          </w:p>
        </w:tc>
        <w:tc>
          <w:tcPr>
            <w:tcW w:w="3135" w:type="dxa"/>
          </w:tcPr>
          <w:p w14:paraId="68E3D157" w14:textId="77777777" w:rsidR="00ED1DBF" w:rsidRPr="00F17545" w:rsidRDefault="00ED1DBF" w:rsidP="00ED7E9D">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P</w:t>
            </w:r>
          </w:p>
        </w:tc>
      </w:tr>
      <w:tr w:rsidR="00ED1DBF" w:rsidRPr="00F17545" w14:paraId="0A9348D7" w14:textId="77777777" w:rsidTr="00D30DFD">
        <w:tc>
          <w:tcPr>
            <w:cnfStyle w:val="001000000000" w:firstRow="0" w:lastRow="0" w:firstColumn="1" w:lastColumn="0" w:oddVBand="0" w:evenVBand="0" w:oddHBand="0" w:evenHBand="0" w:firstRowFirstColumn="0" w:firstRowLastColumn="0" w:lastRowFirstColumn="0" w:lastRowLastColumn="0"/>
            <w:tcW w:w="2244" w:type="dxa"/>
            <w:shd w:val="clear" w:color="auto" w:fill="DBE5F1" w:themeFill="accent1" w:themeFillTint="33"/>
          </w:tcPr>
          <w:p w14:paraId="48FE5915" w14:textId="77777777" w:rsidR="00ED1DBF" w:rsidRPr="00F17545" w:rsidRDefault="00ED1DBF" w:rsidP="00ED7E9D">
            <w:pPr>
              <w:spacing w:line="276" w:lineRule="auto"/>
              <w:rPr>
                <w:rFonts w:ascii="Calibri" w:hAnsi="Calibri"/>
                <w:sz w:val="20"/>
                <w:szCs w:val="20"/>
              </w:rPr>
            </w:pPr>
            <w:r w:rsidRPr="00F17545">
              <w:rPr>
                <w:rFonts w:ascii="Calibri" w:hAnsi="Calibri"/>
                <w:sz w:val="20"/>
                <w:szCs w:val="20"/>
              </w:rPr>
              <w:t># of ACDF levels</w:t>
            </w:r>
          </w:p>
        </w:tc>
        <w:tc>
          <w:tcPr>
            <w:tcW w:w="1376" w:type="dxa"/>
            <w:shd w:val="clear" w:color="auto" w:fill="DBE5F1" w:themeFill="accent1" w:themeFillTint="33"/>
          </w:tcPr>
          <w:p w14:paraId="60AC5704" w14:textId="77777777" w:rsidR="00ED1DBF" w:rsidRPr="00F17545" w:rsidRDefault="00ED1DBF" w:rsidP="00ED7E9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sz w:val="20"/>
                <w:szCs w:val="20"/>
              </w:rPr>
              <w:t>2.59 ±.63</w:t>
            </w:r>
          </w:p>
        </w:tc>
        <w:tc>
          <w:tcPr>
            <w:tcW w:w="1640" w:type="dxa"/>
            <w:shd w:val="clear" w:color="auto" w:fill="DBE5F1" w:themeFill="accent1" w:themeFillTint="33"/>
          </w:tcPr>
          <w:p w14:paraId="4E930CDE" w14:textId="77777777" w:rsidR="00ED1DBF" w:rsidRPr="00F17545" w:rsidRDefault="00ED1DBF" w:rsidP="00ED7E9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sz w:val="20"/>
                <w:szCs w:val="20"/>
              </w:rPr>
              <w:t>2.47 ± .68</w:t>
            </w:r>
          </w:p>
        </w:tc>
        <w:tc>
          <w:tcPr>
            <w:tcW w:w="3135" w:type="dxa"/>
            <w:shd w:val="clear" w:color="auto" w:fill="DBE5F1" w:themeFill="accent1" w:themeFillTint="33"/>
          </w:tcPr>
          <w:p w14:paraId="7A61875F" w14:textId="77777777" w:rsidR="00ED1DBF" w:rsidRPr="00C30F87" w:rsidRDefault="00ED1DBF" w:rsidP="00ED7E9D">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30F87">
              <w:rPr>
                <w:rFonts w:ascii="Calibri" w:hAnsi="Calibri"/>
                <w:sz w:val="20"/>
                <w:szCs w:val="20"/>
              </w:rPr>
              <w:t>.486</w:t>
            </w:r>
          </w:p>
        </w:tc>
      </w:tr>
      <w:tr w:rsidR="00ED1DBF" w:rsidRPr="00F17545" w14:paraId="510157C2" w14:textId="77777777" w:rsidTr="00D30DFD">
        <w:tc>
          <w:tcPr>
            <w:cnfStyle w:val="001000000000" w:firstRow="0" w:lastRow="0" w:firstColumn="1" w:lastColumn="0" w:oddVBand="0" w:evenVBand="0" w:oddHBand="0" w:evenHBand="0" w:firstRowFirstColumn="0" w:firstRowLastColumn="0" w:lastRowFirstColumn="0" w:lastRowLastColumn="0"/>
            <w:tcW w:w="2244" w:type="dxa"/>
          </w:tcPr>
          <w:p w14:paraId="4F5E275D" w14:textId="77777777" w:rsidR="00ED1DBF" w:rsidRPr="00F17545" w:rsidRDefault="00ED1DBF" w:rsidP="00ED7E9D">
            <w:pPr>
              <w:spacing w:line="276" w:lineRule="auto"/>
              <w:ind w:left="400"/>
              <w:rPr>
                <w:rFonts w:ascii="Calibri" w:hAnsi="Calibri"/>
                <w:b w:val="0"/>
                <w:sz w:val="20"/>
                <w:szCs w:val="20"/>
              </w:rPr>
            </w:pPr>
            <w:r w:rsidRPr="00F17545">
              <w:rPr>
                <w:rFonts w:ascii="Calibri" w:hAnsi="Calibri"/>
                <w:b w:val="0"/>
                <w:sz w:val="20"/>
                <w:szCs w:val="20"/>
              </w:rPr>
              <w:t>2-levels (# pts)</w:t>
            </w:r>
          </w:p>
        </w:tc>
        <w:tc>
          <w:tcPr>
            <w:tcW w:w="1376" w:type="dxa"/>
          </w:tcPr>
          <w:p w14:paraId="6A18EAA8" w14:textId="77777777" w:rsidR="00ED1DBF" w:rsidRPr="00F17545" w:rsidRDefault="00ED1DBF" w:rsidP="00ED7E9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14</w:t>
            </w:r>
          </w:p>
        </w:tc>
        <w:tc>
          <w:tcPr>
            <w:tcW w:w="1640" w:type="dxa"/>
          </w:tcPr>
          <w:p w14:paraId="58EF20FF" w14:textId="77777777" w:rsidR="00ED1DBF" w:rsidRPr="00F17545" w:rsidRDefault="00ED1DBF" w:rsidP="00ED7E9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19</w:t>
            </w:r>
          </w:p>
        </w:tc>
        <w:tc>
          <w:tcPr>
            <w:tcW w:w="3135" w:type="dxa"/>
          </w:tcPr>
          <w:p w14:paraId="68D1BB0A" w14:textId="77777777" w:rsidR="00ED1DBF" w:rsidRPr="00F17545" w:rsidRDefault="00ED1DBF" w:rsidP="00ED7E9D">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0.299</w:t>
            </w:r>
          </w:p>
        </w:tc>
      </w:tr>
      <w:tr w:rsidR="00ED1DBF" w:rsidRPr="00F17545" w14:paraId="79803A03" w14:textId="77777777" w:rsidTr="00D30DFD">
        <w:tc>
          <w:tcPr>
            <w:cnfStyle w:val="001000000000" w:firstRow="0" w:lastRow="0" w:firstColumn="1" w:lastColumn="0" w:oddVBand="0" w:evenVBand="0" w:oddHBand="0" w:evenHBand="0" w:firstRowFirstColumn="0" w:firstRowLastColumn="0" w:lastRowFirstColumn="0" w:lastRowLastColumn="0"/>
            <w:tcW w:w="2244" w:type="dxa"/>
          </w:tcPr>
          <w:p w14:paraId="3B90813F" w14:textId="77777777" w:rsidR="00ED1DBF" w:rsidRPr="00F17545" w:rsidRDefault="00ED1DBF" w:rsidP="00ED7E9D">
            <w:pPr>
              <w:spacing w:line="276" w:lineRule="auto"/>
              <w:ind w:left="400"/>
              <w:rPr>
                <w:rFonts w:ascii="Calibri" w:hAnsi="Calibri"/>
                <w:b w:val="0"/>
                <w:sz w:val="20"/>
                <w:szCs w:val="20"/>
              </w:rPr>
            </w:pPr>
            <w:r>
              <w:rPr>
                <w:rFonts w:ascii="Calibri" w:hAnsi="Calibri"/>
                <w:b w:val="0"/>
                <w:sz w:val="20"/>
                <w:szCs w:val="20"/>
              </w:rPr>
              <w:t>3</w:t>
            </w:r>
            <w:r w:rsidRPr="00F17545">
              <w:rPr>
                <w:rFonts w:ascii="Calibri" w:hAnsi="Calibri"/>
                <w:b w:val="0"/>
                <w:sz w:val="20"/>
                <w:szCs w:val="20"/>
              </w:rPr>
              <w:t>-levels (# pts)</w:t>
            </w:r>
          </w:p>
        </w:tc>
        <w:tc>
          <w:tcPr>
            <w:tcW w:w="1376" w:type="dxa"/>
          </w:tcPr>
          <w:p w14:paraId="31BB2A93" w14:textId="77777777" w:rsidR="00ED1DBF" w:rsidRPr="00F17545" w:rsidRDefault="00ED1DBF" w:rsidP="00ED7E9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13</w:t>
            </w:r>
          </w:p>
        </w:tc>
        <w:tc>
          <w:tcPr>
            <w:tcW w:w="1640" w:type="dxa"/>
          </w:tcPr>
          <w:p w14:paraId="745D1753" w14:textId="77777777" w:rsidR="00ED1DBF" w:rsidRPr="00F17545" w:rsidRDefault="00ED1DBF" w:rsidP="00ED7E9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8</w:t>
            </w:r>
          </w:p>
        </w:tc>
        <w:tc>
          <w:tcPr>
            <w:tcW w:w="3135" w:type="dxa"/>
          </w:tcPr>
          <w:p w14:paraId="3254C7C2" w14:textId="77777777" w:rsidR="00ED1DBF" w:rsidRPr="00F17545" w:rsidRDefault="00ED1DBF" w:rsidP="00ED7E9D">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0.18</w:t>
            </w:r>
          </w:p>
        </w:tc>
      </w:tr>
      <w:tr w:rsidR="00ED1DBF" w:rsidRPr="00F17545" w14:paraId="60B6B007" w14:textId="77777777" w:rsidTr="00D30DFD">
        <w:tc>
          <w:tcPr>
            <w:cnfStyle w:val="001000000000" w:firstRow="0" w:lastRow="0" w:firstColumn="1" w:lastColumn="0" w:oddVBand="0" w:evenVBand="0" w:oddHBand="0" w:evenHBand="0" w:firstRowFirstColumn="0" w:firstRowLastColumn="0" w:lastRowFirstColumn="0" w:lastRowLastColumn="0"/>
            <w:tcW w:w="2244" w:type="dxa"/>
          </w:tcPr>
          <w:p w14:paraId="473E6B71" w14:textId="77777777" w:rsidR="00ED1DBF" w:rsidRPr="00F17545" w:rsidRDefault="00ED1DBF" w:rsidP="00ED7E9D">
            <w:pPr>
              <w:spacing w:line="276" w:lineRule="auto"/>
              <w:ind w:left="400"/>
              <w:rPr>
                <w:rFonts w:ascii="Calibri" w:hAnsi="Calibri"/>
                <w:b w:val="0"/>
                <w:sz w:val="20"/>
                <w:szCs w:val="20"/>
              </w:rPr>
            </w:pPr>
            <w:r>
              <w:rPr>
                <w:rFonts w:ascii="Calibri" w:hAnsi="Calibri"/>
                <w:b w:val="0"/>
                <w:sz w:val="20"/>
                <w:szCs w:val="20"/>
              </w:rPr>
              <w:t>4</w:t>
            </w:r>
            <w:r w:rsidRPr="00F17545">
              <w:rPr>
                <w:rFonts w:ascii="Calibri" w:hAnsi="Calibri"/>
                <w:b w:val="0"/>
                <w:sz w:val="20"/>
                <w:szCs w:val="20"/>
              </w:rPr>
              <w:t>-levels (# pts)</w:t>
            </w:r>
          </w:p>
        </w:tc>
        <w:tc>
          <w:tcPr>
            <w:tcW w:w="1376" w:type="dxa"/>
          </w:tcPr>
          <w:p w14:paraId="40ACACAF" w14:textId="77777777" w:rsidR="00ED1DBF" w:rsidRPr="00F17545" w:rsidRDefault="00ED1DBF" w:rsidP="00ED7E9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2</w:t>
            </w:r>
          </w:p>
        </w:tc>
        <w:tc>
          <w:tcPr>
            <w:tcW w:w="1640" w:type="dxa"/>
          </w:tcPr>
          <w:p w14:paraId="3B699F39" w14:textId="77777777" w:rsidR="00ED1DBF" w:rsidRPr="00F17545" w:rsidRDefault="00ED1DBF" w:rsidP="00ED7E9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3</w:t>
            </w:r>
          </w:p>
        </w:tc>
        <w:tc>
          <w:tcPr>
            <w:tcW w:w="3135" w:type="dxa"/>
          </w:tcPr>
          <w:p w14:paraId="5E0E2BE4" w14:textId="77777777" w:rsidR="00ED1DBF" w:rsidRPr="00F17545" w:rsidRDefault="00ED1DBF" w:rsidP="00ED7E9D">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1</w:t>
            </w:r>
          </w:p>
        </w:tc>
      </w:tr>
      <w:tr w:rsidR="00ED1DBF" w:rsidRPr="00F17545" w14:paraId="59C62DE0" w14:textId="77777777" w:rsidTr="00D30DFD">
        <w:tc>
          <w:tcPr>
            <w:cnfStyle w:val="001000000000" w:firstRow="0" w:lastRow="0" w:firstColumn="1" w:lastColumn="0" w:oddVBand="0" w:evenVBand="0" w:oddHBand="0" w:evenHBand="0" w:firstRowFirstColumn="0" w:firstRowLastColumn="0" w:lastRowFirstColumn="0" w:lastRowLastColumn="0"/>
            <w:tcW w:w="2244" w:type="dxa"/>
            <w:shd w:val="clear" w:color="auto" w:fill="DBE5F1" w:themeFill="accent1" w:themeFillTint="33"/>
          </w:tcPr>
          <w:p w14:paraId="5B8BF374" w14:textId="77777777" w:rsidR="00ED1DBF" w:rsidRPr="00F17545" w:rsidRDefault="00ED1DBF" w:rsidP="00ED7E9D">
            <w:pPr>
              <w:spacing w:line="276" w:lineRule="auto"/>
              <w:rPr>
                <w:rFonts w:ascii="Calibri" w:hAnsi="Calibri"/>
                <w:sz w:val="20"/>
                <w:szCs w:val="20"/>
              </w:rPr>
            </w:pPr>
            <w:r>
              <w:rPr>
                <w:rFonts w:ascii="Calibri" w:hAnsi="Calibri"/>
                <w:sz w:val="20"/>
                <w:szCs w:val="20"/>
              </w:rPr>
              <w:t>Op Time</w:t>
            </w:r>
            <w:r w:rsidRPr="00F17545">
              <w:rPr>
                <w:rFonts w:ascii="Calibri" w:hAnsi="Calibri"/>
                <w:sz w:val="20"/>
                <w:szCs w:val="20"/>
              </w:rPr>
              <w:t xml:space="preserve"> (Overall)</w:t>
            </w:r>
          </w:p>
        </w:tc>
        <w:tc>
          <w:tcPr>
            <w:tcW w:w="1376" w:type="dxa"/>
            <w:shd w:val="clear" w:color="auto" w:fill="DBE5F1" w:themeFill="accent1" w:themeFillTint="33"/>
          </w:tcPr>
          <w:p w14:paraId="23078D19" w14:textId="77777777" w:rsidR="00ED1DBF" w:rsidRPr="00F17545" w:rsidRDefault="00ED1DBF" w:rsidP="00ED7E9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157±</w:t>
            </w:r>
            <w:r w:rsidRPr="00F17545">
              <w:rPr>
                <w:rFonts w:ascii="Calibri" w:eastAsia="Times New Roman" w:hAnsi="Calibri" w:cs="Times New Roman"/>
                <w:color w:val="222222"/>
                <w:sz w:val="20"/>
                <w:szCs w:val="20"/>
              </w:rPr>
              <w:t>4</w:t>
            </w:r>
          </w:p>
        </w:tc>
        <w:tc>
          <w:tcPr>
            <w:tcW w:w="1640" w:type="dxa"/>
            <w:shd w:val="clear" w:color="auto" w:fill="DBE5F1" w:themeFill="accent1" w:themeFillTint="33"/>
          </w:tcPr>
          <w:p w14:paraId="73BCB765" w14:textId="77777777" w:rsidR="00ED1DBF" w:rsidRPr="00F17545" w:rsidRDefault="00ED1DBF" w:rsidP="00ED7E9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132±</w:t>
            </w:r>
            <w:r>
              <w:rPr>
                <w:rFonts w:ascii="Calibri" w:hAnsi="Calibri"/>
                <w:sz w:val="20"/>
                <w:szCs w:val="20"/>
              </w:rPr>
              <w:t>4</w:t>
            </w:r>
          </w:p>
        </w:tc>
        <w:tc>
          <w:tcPr>
            <w:tcW w:w="3135" w:type="dxa"/>
            <w:shd w:val="clear" w:color="auto" w:fill="DBE5F1" w:themeFill="accent1" w:themeFillTint="33"/>
          </w:tcPr>
          <w:p w14:paraId="29D48A30" w14:textId="77777777" w:rsidR="00ED1DBF" w:rsidRPr="00F17545" w:rsidRDefault="00ED1DBF" w:rsidP="00ED7E9D">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F17545">
              <w:rPr>
                <w:rFonts w:ascii="Calibri" w:hAnsi="Calibri"/>
                <w:b/>
                <w:sz w:val="20"/>
                <w:szCs w:val="20"/>
              </w:rPr>
              <w:t>0.02</w:t>
            </w:r>
          </w:p>
        </w:tc>
      </w:tr>
      <w:tr w:rsidR="00ED1DBF" w:rsidRPr="00F17545" w14:paraId="13881AFD" w14:textId="77777777" w:rsidTr="00D30DFD">
        <w:tc>
          <w:tcPr>
            <w:cnfStyle w:val="001000000000" w:firstRow="0" w:lastRow="0" w:firstColumn="1" w:lastColumn="0" w:oddVBand="0" w:evenVBand="0" w:oddHBand="0" w:evenHBand="0" w:firstRowFirstColumn="0" w:firstRowLastColumn="0" w:lastRowFirstColumn="0" w:lastRowLastColumn="0"/>
            <w:tcW w:w="2244" w:type="dxa"/>
          </w:tcPr>
          <w:p w14:paraId="22DACD6F" w14:textId="77777777" w:rsidR="00ED1DBF" w:rsidRPr="00F17545" w:rsidRDefault="00ED1DBF" w:rsidP="00ED7E9D">
            <w:pPr>
              <w:spacing w:line="276" w:lineRule="auto"/>
              <w:ind w:left="400"/>
              <w:rPr>
                <w:rFonts w:ascii="Calibri" w:hAnsi="Calibri"/>
                <w:b w:val="0"/>
                <w:sz w:val="20"/>
                <w:szCs w:val="20"/>
              </w:rPr>
            </w:pPr>
            <w:r>
              <w:rPr>
                <w:rFonts w:ascii="Calibri" w:hAnsi="Calibri"/>
                <w:b w:val="0"/>
                <w:sz w:val="20"/>
                <w:szCs w:val="20"/>
              </w:rPr>
              <w:t>Op Time</w:t>
            </w:r>
            <w:r w:rsidRPr="00F17545">
              <w:rPr>
                <w:rFonts w:ascii="Calibri" w:hAnsi="Calibri"/>
                <w:b w:val="0"/>
                <w:sz w:val="20"/>
                <w:szCs w:val="20"/>
              </w:rPr>
              <w:t xml:space="preserve"> for 2 Level </w:t>
            </w:r>
          </w:p>
        </w:tc>
        <w:tc>
          <w:tcPr>
            <w:tcW w:w="1376" w:type="dxa"/>
          </w:tcPr>
          <w:p w14:paraId="3F07D3BF" w14:textId="77777777" w:rsidR="00ED1DBF" w:rsidRPr="00F17545" w:rsidRDefault="00ED1DBF" w:rsidP="00ED7E9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139±29</w:t>
            </w:r>
          </w:p>
        </w:tc>
        <w:tc>
          <w:tcPr>
            <w:tcW w:w="1640" w:type="dxa"/>
          </w:tcPr>
          <w:p w14:paraId="2A53179C" w14:textId="77777777" w:rsidR="00ED1DBF" w:rsidRPr="00F17545" w:rsidRDefault="00ED1DBF" w:rsidP="00ED7E9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120±</w:t>
            </w:r>
            <w:r>
              <w:rPr>
                <w:rFonts w:ascii="Calibri" w:hAnsi="Calibri"/>
                <w:sz w:val="20"/>
                <w:szCs w:val="20"/>
              </w:rPr>
              <w:t>4</w:t>
            </w:r>
          </w:p>
        </w:tc>
        <w:tc>
          <w:tcPr>
            <w:tcW w:w="3135" w:type="dxa"/>
          </w:tcPr>
          <w:p w14:paraId="50BD919D" w14:textId="769D5396" w:rsidR="00ED1DBF" w:rsidRPr="00F17545" w:rsidRDefault="00ED1DBF" w:rsidP="00ED7E9D">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 xml:space="preserve">0.11 </w:t>
            </w:r>
          </w:p>
        </w:tc>
      </w:tr>
      <w:tr w:rsidR="00ED1DBF" w:rsidRPr="00F17545" w14:paraId="28A90A02" w14:textId="77777777" w:rsidTr="00D30DFD">
        <w:tc>
          <w:tcPr>
            <w:cnfStyle w:val="001000000000" w:firstRow="0" w:lastRow="0" w:firstColumn="1" w:lastColumn="0" w:oddVBand="0" w:evenVBand="0" w:oddHBand="0" w:evenHBand="0" w:firstRowFirstColumn="0" w:firstRowLastColumn="0" w:lastRowFirstColumn="0" w:lastRowLastColumn="0"/>
            <w:tcW w:w="2244" w:type="dxa"/>
          </w:tcPr>
          <w:p w14:paraId="6780256A" w14:textId="77777777" w:rsidR="00ED1DBF" w:rsidRPr="00F17545" w:rsidRDefault="00ED1DBF" w:rsidP="00ED7E9D">
            <w:pPr>
              <w:spacing w:line="276" w:lineRule="auto"/>
              <w:ind w:left="400"/>
              <w:rPr>
                <w:rFonts w:ascii="Calibri" w:hAnsi="Calibri"/>
                <w:b w:val="0"/>
                <w:sz w:val="20"/>
                <w:szCs w:val="20"/>
              </w:rPr>
            </w:pPr>
            <w:r>
              <w:rPr>
                <w:rFonts w:ascii="Calibri" w:hAnsi="Calibri"/>
                <w:b w:val="0"/>
                <w:sz w:val="20"/>
                <w:szCs w:val="20"/>
              </w:rPr>
              <w:t>Op Time</w:t>
            </w:r>
            <w:r w:rsidRPr="00F17545">
              <w:rPr>
                <w:rFonts w:ascii="Calibri" w:hAnsi="Calibri"/>
                <w:b w:val="0"/>
                <w:sz w:val="20"/>
                <w:szCs w:val="20"/>
              </w:rPr>
              <w:t xml:space="preserve"> for 3 Level</w:t>
            </w:r>
          </w:p>
        </w:tc>
        <w:tc>
          <w:tcPr>
            <w:tcW w:w="1376" w:type="dxa"/>
          </w:tcPr>
          <w:p w14:paraId="3A28349E" w14:textId="77777777" w:rsidR="00ED1DBF" w:rsidRPr="00F17545" w:rsidRDefault="00ED1DBF" w:rsidP="00ED7E9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163±39</w:t>
            </w:r>
          </w:p>
        </w:tc>
        <w:tc>
          <w:tcPr>
            <w:tcW w:w="1640" w:type="dxa"/>
          </w:tcPr>
          <w:p w14:paraId="33775476" w14:textId="77777777" w:rsidR="00ED1DBF" w:rsidRPr="00F17545" w:rsidRDefault="00ED1DBF" w:rsidP="00ED7E9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149±3</w:t>
            </w:r>
          </w:p>
        </w:tc>
        <w:tc>
          <w:tcPr>
            <w:tcW w:w="3135" w:type="dxa"/>
          </w:tcPr>
          <w:p w14:paraId="03EFFC27" w14:textId="0C9CA55F" w:rsidR="00ED1DBF" w:rsidRPr="00F17545" w:rsidRDefault="00ED1DBF" w:rsidP="00ED7E9D">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 xml:space="preserve">0.44 </w:t>
            </w:r>
          </w:p>
        </w:tc>
      </w:tr>
      <w:tr w:rsidR="00ED1DBF" w:rsidRPr="00F17545" w14:paraId="1BFCDDAE" w14:textId="77777777" w:rsidTr="00D30DFD">
        <w:tc>
          <w:tcPr>
            <w:cnfStyle w:val="001000000000" w:firstRow="0" w:lastRow="0" w:firstColumn="1" w:lastColumn="0" w:oddVBand="0" w:evenVBand="0" w:oddHBand="0" w:evenHBand="0" w:firstRowFirstColumn="0" w:firstRowLastColumn="0" w:lastRowFirstColumn="0" w:lastRowLastColumn="0"/>
            <w:tcW w:w="2244" w:type="dxa"/>
          </w:tcPr>
          <w:p w14:paraId="77F1BE26" w14:textId="77777777" w:rsidR="00ED1DBF" w:rsidRPr="00F17545" w:rsidRDefault="00ED1DBF" w:rsidP="00ED7E9D">
            <w:pPr>
              <w:spacing w:line="276" w:lineRule="auto"/>
              <w:ind w:left="400"/>
              <w:rPr>
                <w:rFonts w:ascii="Calibri" w:hAnsi="Calibri"/>
                <w:b w:val="0"/>
                <w:sz w:val="20"/>
                <w:szCs w:val="20"/>
              </w:rPr>
            </w:pPr>
            <w:r>
              <w:rPr>
                <w:rFonts w:ascii="Calibri" w:hAnsi="Calibri"/>
                <w:b w:val="0"/>
                <w:sz w:val="20"/>
                <w:szCs w:val="20"/>
              </w:rPr>
              <w:t>Op Time</w:t>
            </w:r>
            <w:r w:rsidRPr="00F17545">
              <w:rPr>
                <w:rFonts w:ascii="Calibri" w:hAnsi="Calibri"/>
                <w:b w:val="0"/>
                <w:sz w:val="20"/>
                <w:szCs w:val="20"/>
              </w:rPr>
              <w:t xml:space="preserve"> for 4 Level </w:t>
            </w:r>
          </w:p>
        </w:tc>
        <w:tc>
          <w:tcPr>
            <w:tcW w:w="1376" w:type="dxa"/>
          </w:tcPr>
          <w:p w14:paraId="1018A654" w14:textId="77777777" w:rsidR="00ED1DBF" w:rsidRPr="00F17545" w:rsidRDefault="00ED1DBF" w:rsidP="00ED7E9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236±30</w:t>
            </w:r>
          </w:p>
        </w:tc>
        <w:tc>
          <w:tcPr>
            <w:tcW w:w="1640" w:type="dxa"/>
          </w:tcPr>
          <w:p w14:paraId="1CB194FF" w14:textId="77777777" w:rsidR="00ED1DBF" w:rsidRPr="00F17545" w:rsidRDefault="00ED1DBF" w:rsidP="00ED7E9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165±28</w:t>
            </w:r>
          </w:p>
        </w:tc>
        <w:tc>
          <w:tcPr>
            <w:tcW w:w="3135" w:type="dxa"/>
          </w:tcPr>
          <w:p w14:paraId="63ADC21E" w14:textId="7080D4FF" w:rsidR="00ED1DBF" w:rsidRPr="00F17545" w:rsidRDefault="00ED1DBF" w:rsidP="00ED7E9D">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 xml:space="preserve">0.07 </w:t>
            </w:r>
          </w:p>
        </w:tc>
      </w:tr>
      <w:tr w:rsidR="00ED1DBF" w:rsidRPr="00F17545" w14:paraId="74F60251" w14:textId="77777777" w:rsidTr="00D30DFD">
        <w:tc>
          <w:tcPr>
            <w:cnfStyle w:val="001000000000" w:firstRow="0" w:lastRow="0" w:firstColumn="1" w:lastColumn="0" w:oddVBand="0" w:evenVBand="0" w:oddHBand="0" w:evenHBand="0" w:firstRowFirstColumn="0" w:firstRowLastColumn="0" w:lastRowFirstColumn="0" w:lastRowLastColumn="0"/>
            <w:tcW w:w="2244" w:type="dxa"/>
            <w:shd w:val="clear" w:color="auto" w:fill="DBE5F1" w:themeFill="accent1" w:themeFillTint="33"/>
          </w:tcPr>
          <w:p w14:paraId="4ED11B73" w14:textId="25175B63" w:rsidR="00ED1DBF" w:rsidRPr="00CC430F" w:rsidRDefault="00ED1DBF" w:rsidP="00ED7E9D">
            <w:pPr>
              <w:spacing w:line="276" w:lineRule="auto"/>
              <w:rPr>
                <w:rFonts w:ascii="Calibri" w:hAnsi="Calibri"/>
                <w:sz w:val="20"/>
                <w:szCs w:val="20"/>
              </w:rPr>
            </w:pPr>
            <w:r>
              <w:rPr>
                <w:rFonts w:ascii="Calibri" w:hAnsi="Calibri"/>
                <w:sz w:val="20"/>
                <w:szCs w:val="20"/>
              </w:rPr>
              <w:t>Length of Stay</w:t>
            </w:r>
            <w:r w:rsidR="00DB78A3">
              <w:rPr>
                <w:rFonts w:ascii="Calibri" w:hAnsi="Calibri"/>
                <w:sz w:val="20"/>
                <w:szCs w:val="20"/>
              </w:rPr>
              <w:t xml:space="preserve"> (LOS)</w:t>
            </w:r>
          </w:p>
        </w:tc>
        <w:tc>
          <w:tcPr>
            <w:tcW w:w="1376" w:type="dxa"/>
            <w:shd w:val="clear" w:color="auto" w:fill="DBE5F1" w:themeFill="accent1" w:themeFillTint="33"/>
          </w:tcPr>
          <w:p w14:paraId="4716F04E" w14:textId="77777777" w:rsidR="00ED1DBF" w:rsidRPr="00F17545" w:rsidRDefault="00ED1DBF" w:rsidP="00ED7E9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t>1.99±0.9</w:t>
            </w:r>
          </w:p>
        </w:tc>
        <w:tc>
          <w:tcPr>
            <w:tcW w:w="1640" w:type="dxa"/>
            <w:shd w:val="clear" w:color="auto" w:fill="DBE5F1" w:themeFill="accent1" w:themeFillTint="33"/>
          </w:tcPr>
          <w:p w14:paraId="560DBEE5" w14:textId="77777777" w:rsidR="00ED1DBF" w:rsidRPr="00F17545" w:rsidRDefault="00ED1DBF" w:rsidP="00ED7E9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t>2.96±2.5</w:t>
            </w:r>
          </w:p>
        </w:tc>
        <w:tc>
          <w:tcPr>
            <w:tcW w:w="3135" w:type="dxa"/>
            <w:shd w:val="clear" w:color="auto" w:fill="DBE5F1" w:themeFill="accent1" w:themeFillTint="33"/>
          </w:tcPr>
          <w:p w14:paraId="686139DF" w14:textId="77777777" w:rsidR="00ED1DBF" w:rsidRPr="00F17545" w:rsidRDefault="00ED1DBF" w:rsidP="00ED7E9D">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0.058</w:t>
            </w:r>
          </w:p>
        </w:tc>
      </w:tr>
    </w:tbl>
    <w:p w14:paraId="1ECDEE49" w14:textId="77777777" w:rsidR="00ED7E9D" w:rsidRDefault="00ED7E9D" w:rsidP="00ED1DBF">
      <w:pPr>
        <w:pStyle w:val="Heading3"/>
      </w:pPr>
    </w:p>
    <w:p w14:paraId="1D2668C3" w14:textId="77777777" w:rsidR="00ED1DBF" w:rsidRPr="00FA1541" w:rsidRDefault="00ED1DBF" w:rsidP="00ED1DBF">
      <w:pPr>
        <w:pStyle w:val="Heading3"/>
      </w:pPr>
      <w:bookmarkStart w:id="0" w:name="_GoBack"/>
      <w:bookmarkEnd w:id="0"/>
      <w:r w:rsidRPr="00FA1541">
        <w:t>Post-Op IV Steroids</w:t>
      </w:r>
    </w:p>
    <w:p w14:paraId="658DB3A4" w14:textId="1DF2949D" w:rsidR="00ED1DBF" w:rsidRDefault="00ED1DBF" w:rsidP="00ED1DBF">
      <w:r>
        <w:t>10 patients in the control arm and 9 patients in the Steroid arm were given IV dexamethasone</w:t>
      </w:r>
      <w:r w:rsidR="00377C3D">
        <w:t xml:space="preserve"> post-operatively</w:t>
      </w:r>
      <w:r>
        <w:t xml:space="preserve">. Within the Control Arm, all these 10 patients received IV steroids for </w:t>
      </w:r>
      <w:r w:rsidR="00377C3D">
        <w:t>dysphagia</w:t>
      </w:r>
      <w:r>
        <w:t xml:space="preserve">-related complaints; </w:t>
      </w:r>
      <w:r w:rsidR="00C51AEB">
        <w:t xml:space="preserve">while, </w:t>
      </w:r>
      <w:r>
        <w:t xml:space="preserve">within the Steroid Arm, 5 patients received IV steroids for </w:t>
      </w:r>
      <w:r w:rsidR="00377C3D">
        <w:t>dysphagia-related complaints</w:t>
      </w:r>
      <w:r>
        <w:t xml:space="preserve"> and 4 for radicular pain/numbness. </w:t>
      </w:r>
    </w:p>
    <w:p w14:paraId="08317A44" w14:textId="77777777" w:rsidR="00ED1DBF" w:rsidRDefault="00ED1DBF" w:rsidP="00ED1DBF">
      <w:pPr>
        <w:pStyle w:val="Heading3"/>
      </w:pPr>
      <w:r>
        <w:t>SWAL-QOL:</w:t>
      </w:r>
    </w:p>
    <w:p w14:paraId="6D2C3474" w14:textId="19783047" w:rsidR="00ED1DBF" w:rsidRDefault="00ED1DBF" w:rsidP="00ED1DBF">
      <w:r w:rsidRPr="00C76EF1">
        <w:t xml:space="preserve">A comparison of the median scores of the SWAL-QOL domains found that patients in the </w:t>
      </w:r>
      <w:r>
        <w:t xml:space="preserve">Control arm </w:t>
      </w:r>
      <w:r w:rsidRPr="00C76EF1">
        <w:t>had worse scores for Burden at</w:t>
      </w:r>
      <w:r w:rsidR="00C51AEB">
        <w:t xml:space="preserve"> </w:t>
      </w:r>
      <w:r w:rsidR="00377C3D">
        <w:t>POD2</w:t>
      </w:r>
      <w:r w:rsidRPr="00C76EF1">
        <w:t>, Fear at POD1 and POD2, Mental Health at POD1, Food selection at POD2, and Eating Duration at M1 (</w:t>
      </w:r>
      <w:r w:rsidRPr="00400600">
        <w:rPr>
          <w:b/>
        </w:rPr>
        <w:t xml:space="preserve">Table </w:t>
      </w:r>
      <w:r>
        <w:rPr>
          <w:b/>
        </w:rPr>
        <w:t>3</w:t>
      </w:r>
      <w:r w:rsidRPr="00C76EF1">
        <w:t>). These findings were confirmed with</w:t>
      </w:r>
      <w:r w:rsidR="00C51AEB">
        <w:t xml:space="preserve"> a</w:t>
      </w:r>
      <w:r w:rsidRPr="00C76EF1">
        <w:t xml:space="preserve"> pre to post comparison (larger decline in domain scores for the </w:t>
      </w:r>
      <w:r>
        <w:t>Control arm). I</w:t>
      </w:r>
      <w:r w:rsidRPr="00C76EF1">
        <w:t xml:space="preserve">n addition, </w:t>
      </w:r>
      <w:r w:rsidR="006D3C10">
        <w:t xml:space="preserve">the </w:t>
      </w:r>
      <w:r>
        <w:t>Control arm</w:t>
      </w:r>
      <w:r w:rsidRPr="00C76EF1">
        <w:t xml:space="preserve"> patients also exhibited a worsening of the fear domain at M1 (</w:t>
      </w:r>
      <w:r w:rsidRPr="00400600">
        <w:rPr>
          <w:b/>
        </w:rPr>
        <w:t xml:space="preserve">Table </w:t>
      </w:r>
      <w:r>
        <w:rPr>
          <w:b/>
        </w:rPr>
        <w:t>4</w:t>
      </w:r>
      <w:r w:rsidRPr="00C76EF1">
        <w:t>).</w:t>
      </w:r>
    </w:p>
    <w:p w14:paraId="53E5375B" w14:textId="77777777" w:rsidR="00ED1DBF" w:rsidRDefault="00ED1DBF" w:rsidP="00ED1DBF">
      <w:pPr>
        <w:pStyle w:val="Heading3"/>
      </w:pPr>
      <w:r>
        <w:t>Eat-10 and modified Eat-10:</w:t>
      </w:r>
    </w:p>
    <w:p w14:paraId="1B898995" w14:textId="32E0CE03" w:rsidR="00ED1DBF" w:rsidRPr="0033134F" w:rsidRDefault="00ED1DBF" w:rsidP="00ED1DBF">
      <w:r w:rsidRPr="0033134F">
        <w:t xml:space="preserve">The </w:t>
      </w:r>
      <w:r w:rsidR="00413CD8">
        <w:t>p</w:t>
      </w:r>
      <w:r w:rsidRPr="0033134F">
        <w:t>re</w:t>
      </w:r>
      <w:r w:rsidR="006D3C10">
        <w:t xml:space="preserve"> to </w:t>
      </w:r>
      <w:r w:rsidRPr="0033134F">
        <w:t>post op comparison of the Eat-10 measure found that</w:t>
      </w:r>
      <w:r w:rsidR="006D3C10">
        <w:t xml:space="preserve"> the</w:t>
      </w:r>
      <w:r w:rsidRPr="0033134F">
        <w:t xml:space="preserve"> </w:t>
      </w:r>
      <w:r>
        <w:t xml:space="preserve">Control arm </w:t>
      </w:r>
      <w:r w:rsidRPr="0033134F">
        <w:t>patients had a larger increase in total Eat-10 score at M1 (</w:t>
      </w:r>
      <w:r w:rsidRPr="00400600">
        <w:rPr>
          <w:b/>
        </w:rPr>
        <w:t xml:space="preserve">Table </w:t>
      </w:r>
      <w:r>
        <w:rPr>
          <w:b/>
        </w:rPr>
        <w:t>5</w:t>
      </w:r>
      <w:r w:rsidRPr="0033134F">
        <w:t>). A comparison of the group medians mirrored this result</w:t>
      </w:r>
      <w:r>
        <w:t xml:space="preserve"> (</w:t>
      </w:r>
      <w:r>
        <w:rPr>
          <w:b/>
        </w:rPr>
        <w:t>Table 6)</w:t>
      </w:r>
      <w:r w:rsidRPr="0033134F">
        <w:t xml:space="preserve">. Due to the irrelevancy of the first two questions of the Eat-10 in first 48 </w:t>
      </w:r>
      <w:r>
        <w:t>hours</w:t>
      </w:r>
      <w:r w:rsidRPr="0033134F">
        <w:t xml:space="preserve"> post-op, a modified EAT-10 total score was calculated for </w:t>
      </w:r>
      <w:r w:rsidR="00B17286">
        <w:t xml:space="preserve">the </w:t>
      </w:r>
      <w:r w:rsidRPr="0033134F">
        <w:t xml:space="preserve">inpatient stay (sum of remaining 8 questions). </w:t>
      </w:r>
      <w:r w:rsidRPr="00400600">
        <w:rPr>
          <w:rFonts w:eastAsia="Times New Roman" w:cs="Times New Roman"/>
          <w:color w:val="222222"/>
        </w:rPr>
        <w:t>The pre</w:t>
      </w:r>
      <w:r w:rsidR="00B17286">
        <w:rPr>
          <w:rFonts w:eastAsia="Times New Roman" w:cs="Times New Roman"/>
          <w:color w:val="222222"/>
        </w:rPr>
        <w:t xml:space="preserve"> to </w:t>
      </w:r>
      <w:r w:rsidRPr="00400600">
        <w:rPr>
          <w:rFonts w:eastAsia="Times New Roman" w:cs="Times New Roman"/>
          <w:color w:val="222222"/>
        </w:rPr>
        <w:t>post op comparison of the Modified Eat-10 found that</w:t>
      </w:r>
      <w:r w:rsidR="00B17286">
        <w:rPr>
          <w:rFonts w:eastAsia="Times New Roman" w:cs="Times New Roman"/>
          <w:color w:val="222222"/>
        </w:rPr>
        <w:t xml:space="preserve"> the</w:t>
      </w:r>
      <w:r w:rsidRPr="00400600">
        <w:rPr>
          <w:rFonts w:eastAsia="Times New Roman" w:cs="Times New Roman"/>
          <w:color w:val="222222"/>
        </w:rPr>
        <w:t xml:space="preserve"> </w:t>
      </w:r>
      <w:r>
        <w:rPr>
          <w:rFonts w:eastAsia="Times New Roman" w:cs="Times New Roman"/>
          <w:color w:val="222222"/>
        </w:rPr>
        <w:t xml:space="preserve">Control arm </w:t>
      </w:r>
      <w:r w:rsidRPr="00400600">
        <w:rPr>
          <w:rFonts w:eastAsia="Times New Roman" w:cs="Times New Roman"/>
          <w:color w:val="222222"/>
        </w:rPr>
        <w:t>patients had a larger increase in a modified inpatient Eat-10 score at POD1 (</w:t>
      </w:r>
      <w:r w:rsidRPr="00400600">
        <w:rPr>
          <w:rFonts w:eastAsia="Times New Roman" w:cs="Times New Roman"/>
          <w:b/>
          <w:color w:val="222222"/>
        </w:rPr>
        <w:t xml:space="preserve">Table </w:t>
      </w:r>
      <w:r>
        <w:rPr>
          <w:rFonts w:eastAsia="Times New Roman" w:cs="Times New Roman"/>
          <w:b/>
          <w:color w:val="222222"/>
        </w:rPr>
        <w:t>5</w:t>
      </w:r>
      <w:r w:rsidRPr="00400600">
        <w:rPr>
          <w:rFonts w:eastAsia="Times New Roman" w:cs="Times New Roman"/>
          <w:color w:val="222222"/>
        </w:rPr>
        <w:t xml:space="preserve">), but the comparison of the group medians only found that the difference was trending </w:t>
      </w:r>
      <w:r w:rsidR="007A6B76">
        <w:rPr>
          <w:rFonts w:eastAsia="Times New Roman" w:cs="Times New Roman"/>
          <w:color w:val="222222"/>
        </w:rPr>
        <w:t xml:space="preserve">towards </w:t>
      </w:r>
      <w:r w:rsidRPr="00400600">
        <w:rPr>
          <w:rFonts w:eastAsia="Times New Roman" w:cs="Times New Roman"/>
          <w:color w:val="222222"/>
        </w:rPr>
        <w:t>significance at this time point (</w:t>
      </w:r>
      <w:r w:rsidRPr="00400600">
        <w:rPr>
          <w:rFonts w:eastAsia="Times New Roman" w:cs="Times New Roman"/>
          <w:b/>
          <w:color w:val="222222"/>
        </w:rPr>
        <w:t xml:space="preserve">Table </w:t>
      </w:r>
      <w:r>
        <w:rPr>
          <w:rFonts w:eastAsia="Times New Roman" w:cs="Times New Roman"/>
          <w:b/>
          <w:color w:val="222222"/>
        </w:rPr>
        <w:t>6</w:t>
      </w:r>
      <w:r w:rsidRPr="00400600">
        <w:rPr>
          <w:rFonts w:eastAsia="Times New Roman" w:cs="Times New Roman"/>
          <w:color w:val="222222"/>
        </w:rPr>
        <w:t>)</w:t>
      </w:r>
      <w:r w:rsidR="007A6B76">
        <w:rPr>
          <w:rFonts w:eastAsia="Times New Roman" w:cs="Times New Roman"/>
          <w:color w:val="222222"/>
        </w:rPr>
        <w:t>.</w:t>
      </w:r>
    </w:p>
    <w:p w14:paraId="066FE5B6" w14:textId="77777777" w:rsidR="00ED1DBF" w:rsidRDefault="00ED1DBF" w:rsidP="00ED1DBF">
      <w:pPr>
        <w:pStyle w:val="Heading3"/>
      </w:pPr>
      <w:r>
        <w:t>Bazaz:</w:t>
      </w:r>
    </w:p>
    <w:p w14:paraId="0DCC1CA9" w14:textId="1EE63A79" w:rsidR="00ED1DBF" w:rsidRDefault="00ED1DBF" w:rsidP="00ED1DBF">
      <w:r>
        <w:t>The comparison of the Bazaz scores at different time-points revealed no significant difference between the randomized arms (p&gt;0.2 at all time-points)</w:t>
      </w:r>
      <w:r w:rsidR="007A6B76">
        <w:t>.</w:t>
      </w:r>
    </w:p>
    <w:p w14:paraId="06D3468F" w14:textId="77777777" w:rsidR="00ED1DBF" w:rsidRDefault="00ED1DBF" w:rsidP="00ED1DBF"/>
    <w:p w14:paraId="72468ADA" w14:textId="77777777" w:rsidR="00ED1DBF" w:rsidRDefault="00ED1DBF" w:rsidP="00ED1DBF">
      <w:pPr>
        <w:sectPr w:rsidR="00ED1DBF" w:rsidSect="00915145">
          <w:footerReference w:type="default" r:id="rId9"/>
          <w:pgSz w:w="12240" w:h="15840"/>
          <w:pgMar w:top="1440" w:right="1440" w:bottom="1440" w:left="1440" w:header="720" w:footer="720" w:gutter="0"/>
          <w:lnNumType w:countBy="1"/>
          <w:cols w:space="720"/>
          <w:docGrid w:linePitch="360"/>
        </w:sectPr>
      </w:pPr>
    </w:p>
    <w:tbl>
      <w:tblPr>
        <w:tblW w:w="12756" w:type="dxa"/>
        <w:tblInd w:w="108" w:type="dxa"/>
        <w:tblLook w:val="04A0" w:firstRow="1" w:lastRow="0" w:firstColumn="1" w:lastColumn="0" w:noHBand="0" w:noVBand="1"/>
      </w:tblPr>
      <w:tblGrid>
        <w:gridCol w:w="1260"/>
        <w:gridCol w:w="360"/>
        <w:gridCol w:w="839"/>
        <w:gridCol w:w="1271"/>
        <w:gridCol w:w="672"/>
        <w:gridCol w:w="839"/>
        <w:gridCol w:w="1271"/>
        <w:gridCol w:w="675"/>
        <w:gridCol w:w="839"/>
        <w:gridCol w:w="1271"/>
        <w:gridCol w:w="675"/>
        <w:gridCol w:w="839"/>
        <w:gridCol w:w="1271"/>
        <w:gridCol w:w="675"/>
      </w:tblGrid>
      <w:tr w:rsidR="00ED1DBF" w:rsidRPr="001342CE" w14:paraId="03AA6734" w14:textId="77777777" w:rsidTr="00D30DFD">
        <w:trPr>
          <w:trHeight w:val="315"/>
        </w:trPr>
        <w:tc>
          <w:tcPr>
            <w:tcW w:w="12756" w:type="dxa"/>
            <w:gridSpan w:val="14"/>
            <w:tcBorders>
              <w:top w:val="nil"/>
              <w:left w:val="nil"/>
              <w:bottom w:val="single" w:sz="18" w:space="0" w:color="auto"/>
              <w:right w:val="nil"/>
            </w:tcBorders>
            <w:shd w:val="clear" w:color="auto" w:fill="auto"/>
            <w:noWrap/>
            <w:hideMark/>
          </w:tcPr>
          <w:p w14:paraId="1749C229" w14:textId="0EFF4B66" w:rsidR="00ED1DBF" w:rsidRPr="001342CE" w:rsidRDefault="00ED1DBF" w:rsidP="00676515">
            <w:pPr>
              <w:spacing w:after="0" w:line="240" w:lineRule="auto"/>
              <w:rPr>
                <w:rFonts w:eastAsia="Times New Roman" w:cs="Times New Roman"/>
                <w:b/>
                <w:bCs/>
                <w:color w:val="000000"/>
                <w:sz w:val="20"/>
                <w:szCs w:val="20"/>
              </w:rPr>
            </w:pPr>
            <w:r w:rsidRPr="001342CE">
              <w:rPr>
                <w:rFonts w:eastAsia="Times New Roman" w:cs="Times New Roman"/>
                <w:b/>
                <w:bCs/>
                <w:color w:val="000000"/>
                <w:sz w:val="20"/>
                <w:szCs w:val="20"/>
              </w:rPr>
              <w:lastRenderedPageBreak/>
              <w:t xml:space="preserve">Table </w:t>
            </w:r>
            <w:r>
              <w:rPr>
                <w:rFonts w:eastAsia="Times New Roman" w:cs="Times New Roman"/>
                <w:b/>
                <w:bCs/>
                <w:color w:val="000000"/>
                <w:sz w:val="20"/>
                <w:szCs w:val="20"/>
              </w:rPr>
              <w:t>3</w:t>
            </w:r>
            <w:r w:rsidRPr="001342CE">
              <w:rPr>
                <w:rFonts w:eastAsia="Times New Roman" w:cs="Times New Roman"/>
                <w:b/>
                <w:bCs/>
                <w:color w:val="000000"/>
                <w:sz w:val="20"/>
                <w:szCs w:val="20"/>
              </w:rPr>
              <w:t xml:space="preserve">: </w:t>
            </w:r>
            <w:r>
              <w:rPr>
                <w:rFonts w:eastAsia="Times New Roman" w:cs="Times New Roman"/>
                <w:b/>
                <w:bCs/>
                <w:color w:val="000000"/>
                <w:sz w:val="20"/>
                <w:szCs w:val="20"/>
              </w:rPr>
              <w:t>Comparison of the median SWAL-QOL scores for</w:t>
            </w:r>
            <w:r w:rsidR="00676515">
              <w:rPr>
                <w:rFonts w:eastAsia="Times New Roman" w:cs="Times New Roman"/>
                <w:b/>
                <w:bCs/>
                <w:color w:val="000000"/>
                <w:sz w:val="20"/>
                <w:szCs w:val="20"/>
              </w:rPr>
              <w:t xml:space="preserve"> </w:t>
            </w:r>
            <w:r>
              <w:rPr>
                <w:rFonts w:eastAsia="Times New Roman" w:cs="Times New Roman"/>
                <w:b/>
                <w:bCs/>
                <w:color w:val="000000"/>
                <w:sz w:val="20"/>
                <w:szCs w:val="20"/>
              </w:rPr>
              <w:t>different time-points</w:t>
            </w:r>
            <w:r w:rsidRPr="001342CE">
              <w:rPr>
                <w:rFonts w:eastAsia="Times New Roman" w:cs="Times New Roman"/>
                <w:b/>
                <w:bCs/>
                <w:color w:val="000000"/>
                <w:sz w:val="20"/>
                <w:szCs w:val="20"/>
              </w:rPr>
              <w:t xml:space="preserve"> </w:t>
            </w:r>
          </w:p>
        </w:tc>
      </w:tr>
      <w:tr w:rsidR="00ED1DBF" w:rsidRPr="00070D56" w14:paraId="1245EE77" w14:textId="77777777" w:rsidTr="00D30DFD">
        <w:trPr>
          <w:trHeight w:val="300"/>
        </w:trPr>
        <w:tc>
          <w:tcPr>
            <w:tcW w:w="1620" w:type="dxa"/>
            <w:gridSpan w:val="2"/>
            <w:vMerge w:val="restart"/>
            <w:tcBorders>
              <w:top w:val="single" w:sz="18" w:space="0" w:color="auto"/>
              <w:left w:val="single" w:sz="18" w:space="0" w:color="auto"/>
              <w:bottom w:val="nil"/>
              <w:right w:val="single" w:sz="4" w:space="0" w:color="000000"/>
            </w:tcBorders>
            <w:shd w:val="clear" w:color="auto" w:fill="auto"/>
            <w:noWrap/>
            <w:vAlign w:val="center"/>
            <w:hideMark/>
          </w:tcPr>
          <w:p w14:paraId="3B45F43B" w14:textId="77777777" w:rsidR="00ED1DBF" w:rsidRPr="001342CE" w:rsidRDefault="00ED1DBF" w:rsidP="00D30DFD">
            <w:pPr>
              <w:spacing w:after="0" w:line="240" w:lineRule="auto"/>
              <w:jc w:val="center"/>
              <w:rPr>
                <w:rFonts w:eastAsia="Times New Roman" w:cs="Times New Roman"/>
                <w:b/>
                <w:bCs/>
                <w:color w:val="000000"/>
                <w:sz w:val="20"/>
                <w:szCs w:val="20"/>
              </w:rPr>
            </w:pPr>
          </w:p>
        </w:tc>
        <w:tc>
          <w:tcPr>
            <w:tcW w:w="2781" w:type="dxa"/>
            <w:gridSpan w:val="3"/>
            <w:tcBorders>
              <w:top w:val="single" w:sz="18" w:space="0" w:color="auto"/>
              <w:left w:val="nil"/>
              <w:bottom w:val="nil"/>
              <w:right w:val="single" w:sz="4" w:space="0" w:color="000000"/>
            </w:tcBorders>
            <w:shd w:val="clear" w:color="auto" w:fill="auto"/>
            <w:noWrap/>
            <w:vAlign w:val="center"/>
            <w:hideMark/>
          </w:tcPr>
          <w:p w14:paraId="05B75A12"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Pre-Op ( C N=29, S N=30)</w:t>
            </w:r>
          </w:p>
        </w:tc>
        <w:tc>
          <w:tcPr>
            <w:tcW w:w="2785" w:type="dxa"/>
            <w:gridSpan w:val="3"/>
            <w:tcBorders>
              <w:top w:val="single" w:sz="18" w:space="0" w:color="auto"/>
              <w:left w:val="nil"/>
              <w:bottom w:val="nil"/>
              <w:right w:val="single" w:sz="4" w:space="0" w:color="000000"/>
            </w:tcBorders>
            <w:shd w:val="clear" w:color="auto" w:fill="auto"/>
            <w:noWrap/>
            <w:vAlign w:val="center"/>
            <w:hideMark/>
          </w:tcPr>
          <w:p w14:paraId="660727D3"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b/>
                <w:bCs/>
                <w:color w:val="000000"/>
                <w:sz w:val="20"/>
                <w:szCs w:val="20"/>
              </w:rPr>
              <w:t xml:space="preserve">POD1 </w:t>
            </w:r>
            <w:r w:rsidRPr="001342CE">
              <w:rPr>
                <w:rFonts w:eastAsia="Times New Roman" w:cs="Times New Roman"/>
                <w:color w:val="000000"/>
                <w:sz w:val="20"/>
                <w:szCs w:val="20"/>
              </w:rPr>
              <w:t>( C N=28, S N=28)</w:t>
            </w:r>
          </w:p>
        </w:tc>
        <w:tc>
          <w:tcPr>
            <w:tcW w:w="2785" w:type="dxa"/>
            <w:gridSpan w:val="3"/>
            <w:tcBorders>
              <w:top w:val="single" w:sz="18" w:space="0" w:color="auto"/>
              <w:left w:val="nil"/>
              <w:bottom w:val="nil"/>
              <w:right w:val="single" w:sz="4" w:space="0" w:color="000000"/>
            </w:tcBorders>
            <w:shd w:val="clear" w:color="auto" w:fill="auto"/>
            <w:noWrap/>
            <w:vAlign w:val="center"/>
            <w:hideMark/>
          </w:tcPr>
          <w:p w14:paraId="3B8FA7D6"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b/>
                <w:bCs/>
                <w:color w:val="000000"/>
                <w:sz w:val="20"/>
                <w:szCs w:val="20"/>
              </w:rPr>
              <w:t>POD2</w:t>
            </w:r>
            <w:r w:rsidRPr="001342CE">
              <w:rPr>
                <w:rFonts w:eastAsia="Times New Roman" w:cs="Times New Roman"/>
                <w:color w:val="000000"/>
                <w:sz w:val="20"/>
                <w:szCs w:val="20"/>
              </w:rPr>
              <w:t xml:space="preserve"> (C N=25, S N=24)</w:t>
            </w:r>
          </w:p>
        </w:tc>
        <w:tc>
          <w:tcPr>
            <w:tcW w:w="2785" w:type="dxa"/>
            <w:gridSpan w:val="3"/>
            <w:tcBorders>
              <w:top w:val="single" w:sz="18" w:space="0" w:color="auto"/>
              <w:left w:val="nil"/>
              <w:bottom w:val="nil"/>
              <w:right w:val="single" w:sz="18" w:space="0" w:color="auto"/>
            </w:tcBorders>
            <w:shd w:val="clear" w:color="auto" w:fill="auto"/>
            <w:noWrap/>
            <w:vAlign w:val="center"/>
            <w:hideMark/>
          </w:tcPr>
          <w:p w14:paraId="1126A2F3"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b/>
                <w:bCs/>
                <w:color w:val="000000"/>
                <w:sz w:val="20"/>
                <w:szCs w:val="20"/>
              </w:rPr>
              <w:t>M1</w:t>
            </w:r>
            <w:r w:rsidRPr="001342CE">
              <w:rPr>
                <w:rFonts w:eastAsia="Times New Roman" w:cs="Times New Roman"/>
                <w:color w:val="000000"/>
                <w:sz w:val="20"/>
                <w:szCs w:val="20"/>
              </w:rPr>
              <w:t xml:space="preserve"> (C N=27, S N=28)</w:t>
            </w:r>
          </w:p>
        </w:tc>
      </w:tr>
      <w:tr w:rsidR="00ED1DBF" w:rsidRPr="00070D56" w14:paraId="6EEC831B" w14:textId="77777777" w:rsidTr="00D30DFD">
        <w:trPr>
          <w:trHeight w:val="300"/>
        </w:trPr>
        <w:tc>
          <w:tcPr>
            <w:tcW w:w="1620" w:type="dxa"/>
            <w:gridSpan w:val="2"/>
            <w:vMerge/>
            <w:tcBorders>
              <w:top w:val="single" w:sz="8" w:space="0" w:color="auto"/>
              <w:left w:val="single" w:sz="18" w:space="0" w:color="auto"/>
              <w:bottom w:val="single" w:sz="18" w:space="0" w:color="auto"/>
              <w:right w:val="single" w:sz="4" w:space="0" w:color="000000"/>
            </w:tcBorders>
            <w:vAlign w:val="center"/>
            <w:hideMark/>
          </w:tcPr>
          <w:p w14:paraId="1FDA08D3" w14:textId="77777777" w:rsidR="00ED1DBF" w:rsidRPr="001342CE" w:rsidRDefault="00ED1DBF" w:rsidP="00D30DFD">
            <w:pPr>
              <w:spacing w:after="0" w:line="240" w:lineRule="auto"/>
              <w:jc w:val="center"/>
              <w:rPr>
                <w:rFonts w:eastAsia="Times New Roman" w:cs="Times New Roman"/>
                <w:b/>
                <w:bCs/>
                <w:color w:val="000000"/>
                <w:sz w:val="20"/>
                <w:szCs w:val="20"/>
              </w:rPr>
            </w:pPr>
          </w:p>
        </w:tc>
        <w:tc>
          <w:tcPr>
            <w:tcW w:w="838" w:type="dxa"/>
            <w:tcBorders>
              <w:top w:val="nil"/>
              <w:left w:val="nil"/>
              <w:bottom w:val="single" w:sz="18" w:space="0" w:color="auto"/>
              <w:right w:val="nil"/>
            </w:tcBorders>
            <w:shd w:val="clear" w:color="auto" w:fill="auto"/>
            <w:noWrap/>
            <w:vAlign w:val="center"/>
            <w:hideMark/>
          </w:tcPr>
          <w:p w14:paraId="0A9145F8"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Median</w:t>
            </w:r>
          </w:p>
        </w:tc>
        <w:tc>
          <w:tcPr>
            <w:tcW w:w="1271" w:type="dxa"/>
            <w:tcBorders>
              <w:top w:val="nil"/>
              <w:left w:val="nil"/>
              <w:bottom w:val="single" w:sz="18" w:space="0" w:color="auto"/>
              <w:right w:val="nil"/>
            </w:tcBorders>
            <w:shd w:val="clear" w:color="auto" w:fill="auto"/>
            <w:noWrap/>
            <w:vAlign w:val="center"/>
            <w:hideMark/>
          </w:tcPr>
          <w:p w14:paraId="0236013B"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IQR</w:t>
            </w:r>
          </w:p>
        </w:tc>
        <w:tc>
          <w:tcPr>
            <w:tcW w:w="672" w:type="dxa"/>
            <w:tcBorders>
              <w:top w:val="nil"/>
              <w:left w:val="nil"/>
              <w:bottom w:val="single" w:sz="18" w:space="0" w:color="auto"/>
              <w:right w:val="single" w:sz="4" w:space="0" w:color="auto"/>
            </w:tcBorders>
            <w:shd w:val="clear" w:color="auto" w:fill="auto"/>
            <w:noWrap/>
            <w:vAlign w:val="center"/>
            <w:hideMark/>
          </w:tcPr>
          <w:p w14:paraId="6CD9E882"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P</w:t>
            </w:r>
          </w:p>
        </w:tc>
        <w:tc>
          <w:tcPr>
            <w:tcW w:w="839" w:type="dxa"/>
            <w:tcBorders>
              <w:top w:val="nil"/>
              <w:left w:val="nil"/>
              <w:bottom w:val="single" w:sz="18" w:space="0" w:color="auto"/>
              <w:right w:val="nil"/>
            </w:tcBorders>
            <w:shd w:val="clear" w:color="auto" w:fill="auto"/>
            <w:noWrap/>
            <w:vAlign w:val="center"/>
            <w:hideMark/>
          </w:tcPr>
          <w:p w14:paraId="7EB9A648"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Median</w:t>
            </w:r>
          </w:p>
        </w:tc>
        <w:tc>
          <w:tcPr>
            <w:tcW w:w="1271" w:type="dxa"/>
            <w:tcBorders>
              <w:top w:val="nil"/>
              <w:left w:val="nil"/>
              <w:bottom w:val="single" w:sz="18" w:space="0" w:color="auto"/>
              <w:right w:val="nil"/>
            </w:tcBorders>
            <w:shd w:val="clear" w:color="auto" w:fill="auto"/>
            <w:noWrap/>
            <w:vAlign w:val="center"/>
            <w:hideMark/>
          </w:tcPr>
          <w:p w14:paraId="332D0E05"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IQR</w:t>
            </w:r>
          </w:p>
        </w:tc>
        <w:tc>
          <w:tcPr>
            <w:tcW w:w="675" w:type="dxa"/>
            <w:tcBorders>
              <w:top w:val="nil"/>
              <w:left w:val="nil"/>
              <w:bottom w:val="single" w:sz="18" w:space="0" w:color="auto"/>
              <w:right w:val="single" w:sz="4" w:space="0" w:color="auto"/>
            </w:tcBorders>
            <w:shd w:val="clear" w:color="auto" w:fill="auto"/>
            <w:noWrap/>
            <w:vAlign w:val="center"/>
            <w:hideMark/>
          </w:tcPr>
          <w:p w14:paraId="627FA504"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P</w:t>
            </w:r>
          </w:p>
        </w:tc>
        <w:tc>
          <w:tcPr>
            <w:tcW w:w="839" w:type="dxa"/>
            <w:tcBorders>
              <w:top w:val="nil"/>
              <w:left w:val="nil"/>
              <w:bottom w:val="single" w:sz="18" w:space="0" w:color="auto"/>
              <w:right w:val="nil"/>
            </w:tcBorders>
            <w:shd w:val="clear" w:color="auto" w:fill="auto"/>
            <w:noWrap/>
            <w:vAlign w:val="center"/>
            <w:hideMark/>
          </w:tcPr>
          <w:p w14:paraId="55EA6411"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Median</w:t>
            </w:r>
          </w:p>
        </w:tc>
        <w:tc>
          <w:tcPr>
            <w:tcW w:w="1271" w:type="dxa"/>
            <w:tcBorders>
              <w:top w:val="nil"/>
              <w:left w:val="nil"/>
              <w:bottom w:val="single" w:sz="18" w:space="0" w:color="auto"/>
              <w:right w:val="nil"/>
            </w:tcBorders>
            <w:shd w:val="clear" w:color="auto" w:fill="auto"/>
            <w:noWrap/>
            <w:vAlign w:val="center"/>
            <w:hideMark/>
          </w:tcPr>
          <w:p w14:paraId="1C0DC34F"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IQR</w:t>
            </w:r>
          </w:p>
        </w:tc>
        <w:tc>
          <w:tcPr>
            <w:tcW w:w="675" w:type="dxa"/>
            <w:tcBorders>
              <w:top w:val="nil"/>
              <w:left w:val="nil"/>
              <w:bottom w:val="single" w:sz="18" w:space="0" w:color="auto"/>
              <w:right w:val="single" w:sz="4" w:space="0" w:color="auto"/>
            </w:tcBorders>
            <w:shd w:val="clear" w:color="auto" w:fill="auto"/>
            <w:noWrap/>
            <w:vAlign w:val="center"/>
            <w:hideMark/>
          </w:tcPr>
          <w:p w14:paraId="570A6D16"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P</w:t>
            </w:r>
          </w:p>
        </w:tc>
        <w:tc>
          <w:tcPr>
            <w:tcW w:w="839" w:type="dxa"/>
            <w:tcBorders>
              <w:top w:val="nil"/>
              <w:left w:val="nil"/>
              <w:bottom w:val="single" w:sz="18" w:space="0" w:color="auto"/>
              <w:right w:val="nil"/>
            </w:tcBorders>
            <w:shd w:val="clear" w:color="auto" w:fill="auto"/>
            <w:noWrap/>
            <w:vAlign w:val="center"/>
            <w:hideMark/>
          </w:tcPr>
          <w:p w14:paraId="4607D875"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Median</w:t>
            </w:r>
          </w:p>
        </w:tc>
        <w:tc>
          <w:tcPr>
            <w:tcW w:w="1271" w:type="dxa"/>
            <w:tcBorders>
              <w:top w:val="nil"/>
              <w:left w:val="nil"/>
              <w:bottom w:val="single" w:sz="18" w:space="0" w:color="auto"/>
              <w:right w:val="nil"/>
            </w:tcBorders>
            <w:shd w:val="clear" w:color="auto" w:fill="auto"/>
            <w:noWrap/>
            <w:vAlign w:val="center"/>
            <w:hideMark/>
          </w:tcPr>
          <w:p w14:paraId="3607D6D2"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IQR</w:t>
            </w:r>
          </w:p>
        </w:tc>
        <w:tc>
          <w:tcPr>
            <w:tcW w:w="675" w:type="dxa"/>
            <w:tcBorders>
              <w:top w:val="nil"/>
              <w:left w:val="nil"/>
              <w:bottom w:val="single" w:sz="18" w:space="0" w:color="auto"/>
              <w:right w:val="single" w:sz="18" w:space="0" w:color="auto"/>
            </w:tcBorders>
            <w:shd w:val="clear" w:color="auto" w:fill="auto"/>
            <w:noWrap/>
            <w:vAlign w:val="center"/>
            <w:hideMark/>
          </w:tcPr>
          <w:p w14:paraId="65C919B8"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P</w:t>
            </w:r>
          </w:p>
        </w:tc>
      </w:tr>
      <w:tr w:rsidR="00ED1DBF" w:rsidRPr="00070D56" w14:paraId="2BA2F429" w14:textId="77777777" w:rsidTr="00D30DFD">
        <w:trPr>
          <w:trHeight w:val="300"/>
        </w:trPr>
        <w:tc>
          <w:tcPr>
            <w:tcW w:w="1260" w:type="dxa"/>
            <w:vMerge w:val="restart"/>
            <w:tcBorders>
              <w:top w:val="single" w:sz="18" w:space="0" w:color="auto"/>
              <w:left w:val="single" w:sz="18" w:space="0" w:color="auto"/>
              <w:bottom w:val="single" w:sz="4" w:space="0" w:color="000000"/>
              <w:right w:val="nil"/>
            </w:tcBorders>
            <w:shd w:val="clear" w:color="000000" w:fill="DCE6F1"/>
            <w:vAlign w:val="center"/>
            <w:hideMark/>
          </w:tcPr>
          <w:p w14:paraId="026E85CB"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Burden</w:t>
            </w:r>
          </w:p>
        </w:tc>
        <w:tc>
          <w:tcPr>
            <w:tcW w:w="360" w:type="dxa"/>
            <w:tcBorders>
              <w:top w:val="single" w:sz="18" w:space="0" w:color="auto"/>
              <w:left w:val="nil"/>
              <w:bottom w:val="nil"/>
              <w:right w:val="single" w:sz="4" w:space="0" w:color="auto"/>
            </w:tcBorders>
            <w:shd w:val="clear" w:color="000000" w:fill="DCE6F1"/>
            <w:noWrap/>
            <w:vAlign w:val="bottom"/>
            <w:hideMark/>
          </w:tcPr>
          <w:p w14:paraId="650F6E46"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C</w:t>
            </w:r>
          </w:p>
        </w:tc>
        <w:tc>
          <w:tcPr>
            <w:tcW w:w="838" w:type="dxa"/>
            <w:tcBorders>
              <w:top w:val="single" w:sz="18" w:space="0" w:color="auto"/>
              <w:left w:val="nil"/>
              <w:bottom w:val="nil"/>
              <w:right w:val="nil"/>
            </w:tcBorders>
            <w:shd w:val="clear" w:color="000000" w:fill="DCE6F1"/>
            <w:noWrap/>
            <w:vAlign w:val="center"/>
            <w:hideMark/>
          </w:tcPr>
          <w:p w14:paraId="1C064FBF"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w:t>
            </w:r>
          </w:p>
        </w:tc>
        <w:tc>
          <w:tcPr>
            <w:tcW w:w="1271" w:type="dxa"/>
            <w:tcBorders>
              <w:top w:val="single" w:sz="18" w:space="0" w:color="auto"/>
              <w:left w:val="nil"/>
              <w:bottom w:val="nil"/>
              <w:right w:val="nil"/>
            </w:tcBorders>
            <w:shd w:val="clear" w:color="000000" w:fill="DCE6F1"/>
            <w:noWrap/>
            <w:vAlign w:val="center"/>
            <w:hideMark/>
          </w:tcPr>
          <w:p w14:paraId="392E1479"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(100‒100)</w:t>
            </w:r>
          </w:p>
        </w:tc>
        <w:tc>
          <w:tcPr>
            <w:tcW w:w="672" w:type="dxa"/>
            <w:vMerge w:val="restart"/>
            <w:tcBorders>
              <w:top w:val="single" w:sz="18" w:space="0" w:color="auto"/>
              <w:left w:val="nil"/>
              <w:bottom w:val="single" w:sz="4" w:space="0" w:color="000000"/>
              <w:right w:val="single" w:sz="4" w:space="0" w:color="auto"/>
            </w:tcBorders>
            <w:shd w:val="clear" w:color="000000" w:fill="DCE6F1"/>
            <w:noWrap/>
            <w:vAlign w:val="center"/>
            <w:hideMark/>
          </w:tcPr>
          <w:p w14:paraId="37D447BD"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0.309</w:t>
            </w:r>
          </w:p>
        </w:tc>
        <w:tc>
          <w:tcPr>
            <w:tcW w:w="839" w:type="dxa"/>
            <w:tcBorders>
              <w:top w:val="single" w:sz="18" w:space="0" w:color="auto"/>
              <w:left w:val="nil"/>
              <w:bottom w:val="nil"/>
              <w:right w:val="nil"/>
            </w:tcBorders>
            <w:shd w:val="clear" w:color="000000" w:fill="DCE6F1"/>
            <w:noWrap/>
            <w:vAlign w:val="center"/>
            <w:hideMark/>
          </w:tcPr>
          <w:p w14:paraId="65D0F912"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62.5</w:t>
            </w:r>
          </w:p>
        </w:tc>
        <w:tc>
          <w:tcPr>
            <w:tcW w:w="1271" w:type="dxa"/>
            <w:tcBorders>
              <w:top w:val="single" w:sz="18" w:space="0" w:color="auto"/>
              <w:left w:val="nil"/>
              <w:bottom w:val="nil"/>
              <w:right w:val="nil"/>
            </w:tcBorders>
            <w:shd w:val="clear" w:color="000000" w:fill="DCE6F1"/>
            <w:noWrap/>
            <w:vAlign w:val="center"/>
            <w:hideMark/>
          </w:tcPr>
          <w:p w14:paraId="1CF01875"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(25‒87.5)</w:t>
            </w:r>
          </w:p>
        </w:tc>
        <w:tc>
          <w:tcPr>
            <w:tcW w:w="675" w:type="dxa"/>
            <w:vMerge w:val="restart"/>
            <w:tcBorders>
              <w:top w:val="single" w:sz="18" w:space="0" w:color="auto"/>
              <w:left w:val="nil"/>
              <w:bottom w:val="single" w:sz="4" w:space="0" w:color="000000"/>
              <w:right w:val="single" w:sz="4" w:space="0" w:color="auto"/>
            </w:tcBorders>
            <w:shd w:val="clear" w:color="000000" w:fill="DCE6F1"/>
            <w:noWrap/>
            <w:vAlign w:val="center"/>
            <w:hideMark/>
          </w:tcPr>
          <w:p w14:paraId="41E71014"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0.117</w:t>
            </w:r>
          </w:p>
        </w:tc>
        <w:tc>
          <w:tcPr>
            <w:tcW w:w="839" w:type="dxa"/>
            <w:tcBorders>
              <w:top w:val="single" w:sz="18" w:space="0" w:color="auto"/>
              <w:left w:val="nil"/>
              <w:bottom w:val="nil"/>
              <w:right w:val="nil"/>
            </w:tcBorders>
            <w:shd w:val="clear" w:color="000000" w:fill="DCE6F1"/>
            <w:noWrap/>
            <w:vAlign w:val="center"/>
            <w:hideMark/>
          </w:tcPr>
          <w:p w14:paraId="5860A55B"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62.5</w:t>
            </w:r>
          </w:p>
        </w:tc>
        <w:tc>
          <w:tcPr>
            <w:tcW w:w="1271" w:type="dxa"/>
            <w:tcBorders>
              <w:top w:val="single" w:sz="18" w:space="0" w:color="auto"/>
              <w:left w:val="nil"/>
              <w:bottom w:val="nil"/>
              <w:right w:val="nil"/>
            </w:tcBorders>
            <w:shd w:val="clear" w:color="000000" w:fill="DCE6F1"/>
            <w:noWrap/>
            <w:vAlign w:val="center"/>
            <w:hideMark/>
          </w:tcPr>
          <w:p w14:paraId="0EB488F3"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(25‒87.5)</w:t>
            </w:r>
          </w:p>
        </w:tc>
        <w:tc>
          <w:tcPr>
            <w:tcW w:w="675" w:type="dxa"/>
            <w:vMerge w:val="restart"/>
            <w:tcBorders>
              <w:top w:val="single" w:sz="18" w:space="0" w:color="auto"/>
              <w:left w:val="nil"/>
              <w:bottom w:val="single" w:sz="4" w:space="0" w:color="000000"/>
              <w:right w:val="single" w:sz="4" w:space="0" w:color="auto"/>
            </w:tcBorders>
            <w:shd w:val="clear" w:color="000000" w:fill="DCE6F1"/>
            <w:noWrap/>
            <w:vAlign w:val="center"/>
            <w:hideMark/>
          </w:tcPr>
          <w:p w14:paraId="3EF6938A"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0.049</w:t>
            </w:r>
          </w:p>
        </w:tc>
        <w:tc>
          <w:tcPr>
            <w:tcW w:w="839" w:type="dxa"/>
            <w:tcBorders>
              <w:top w:val="single" w:sz="18" w:space="0" w:color="auto"/>
              <w:left w:val="nil"/>
              <w:bottom w:val="nil"/>
              <w:right w:val="nil"/>
            </w:tcBorders>
            <w:shd w:val="clear" w:color="000000" w:fill="DCE6F1"/>
            <w:noWrap/>
            <w:vAlign w:val="center"/>
            <w:hideMark/>
          </w:tcPr>
          <w:p w14:paraId="1486F6FE"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87.5</w:t>
            </w:r>
          </w:p>
        </w:tc>
        <w:tc>
          <w:tcPr>
            <w:tcW w:w="1271" w:type="dxa"/>
            <w:tcBorders>
              <w:top w:val="single" w:sz="18" w:space="0" w:color="auto"/>
              <w:left w:val="nil"/>
              <w:bottom w:val="nil"/>
              <w:right w:val="nil"/>
            </w:tcBorders>
            <w:shd w:val="clear" w:color="000000" w:fill="DCE6F1"/>
            <w:noWrap/>
            <w:vAlign w:val="center"/>
            <w:hideMark/>
          </w:tcPr>
          <w:p w14:paraId="18BE2A4B"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(62.5‒100)</w:t>
            </w:r>
          </w:p>
        </w:tc>
        <w:tc>
          <w:tcPr>
            <w:tcW w:w="675" w:type="dxa"/>
            <w:vMerge w:val="restart"/>
            <w:tcBorders>
              <w:top w:val="single" w:sz="18" w:space="0" w:color="auto"/>
              <w:left w:val="nil"/>
              <w:bottom w:val="single" w:sz="4" w:space="0" w:color="000000"/>
              <w:right w:val="single" w:sz="18" w:space="0" w:color="auto"/>
            </w:tcBorders>
            <w:shd w:val="clear" w:color="000000" w:fill="DCE6F1"/>
            <w:noWrap/>
            <w:vAlign w:val="center"/>
            <w:hideMark/>
          </w:tcPr>
          <w:p w14:paraId="526945AE"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0.106</w:t>
            </w:r>
          </w:p>
        </w:tc>
      </w:tr>
      <w:tr w:rsidR="00ED1DBF" w:rsidRPr="00070D56" w14:paraId="0207530C" w14:textId="77777777" w:rsidTr="00D30DFD">
        <w:trPr>
          <w:trHeight w:val="60"/>
        </w:trPr>
        <w:tc>
          <w:tcPr>
            <w:tcW w:w="1260" w:type="dxa"/>
            <w:vMerge/>
            <w:tcBorders>
              <w:top w:val="single" w:sz="4" w:space="0" w:color="auto"/>
              <w:left w:val="single" w:sz="18" w:space="0" w:color="auto"/>
              <w:bottom w:val="single" w:sz="4" w:space="0" w:color="000000"/>
              <w:right w:val="nil"/>
            </w:tcBorders>
            <w:vAlign w:val="center"/>
            <w:hideMark/>
          </w:tcPr>
          <w:p w14:paraId="257D9B78" w14:textId="77777777" w:rsidR="00ED1DBF" w:rsidRPr="001342CE" w:rsidRDefault="00ED1DBF" w:rsidP="00D30DFD">
            <w:pPr>
              <w:spacing w:after="0" w:line="240" w:lineRule="auto"/>
              <w:rPr>
                <w:rFonts w:eastAsia="Times New Roman" w:cs="Times New Roman"/>
                <w:b/>
                <w:bCs/>
                <w:color w:val="000000"/>
                <w:sz w:val="20"/>
                <w:szCs w:val="20"/>
              </w:rPr>
            </w:pPr>
          </w:p>
        </w:tc>
        <w:tc>
          <w:tcPr>
            <w:tcW w:w="360" w:type="dxa"/>
            <w:tcBorders>
              <w:top w:val="nil"/>
              <w:left w:val="nil"/>
              <w:bottom w:val="single" w:sz="4" w:space="0" w:color="auto"/>
              <w:right w:val="single" w:sz="4" w:space="0" w:color="auto"/>
            </w:tcBorders>
            <w:shd w:val="clear" w:color="000000" w:fill="DCE6F1"/>
            <w:noWrap/>
            <w:vAlign w:val="bottom"/>
            <w:hideMark/>
          </w:tcPr>
          <w:p w14:paraId="5EC20483"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S</w:t>
            </w:r>
          </w:p>
        </w:tc>
        <w:tc>
          <w:tcPr>
            <w:tcW w:w="838" w:type="dxa"/>
            <w:tcBorders>
              <w:top w:val="nil"/>
              <w:left w:val="nil"/>
              <w:bottom w:val="single" w:sz="4" w:space="0" w:color="auto"/>
              <w:right w:val="nil"/>
            </w:tcBorders>
            <w:shd w:val="clear" w:color="000000" w:fill="DCE6F1"/>
            <w:noWrap/>
            <w:vAlign w:val="center"/>
            <w:hideMark/>
          </w:tcPr>
          <w:p w14:paraId="5433FF17"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w:t>
            </w:r>
          </w:p>
        </w:tc>
        <w:tc>
          <w:tcPr>
            <w:tcW w:w="1271" w:type="dxa"/>
            <w:tcBorders>
              <w:top w:val="nil"/>
              <w:left w:val="nil"/>
              <w:bottom w:val="single" w:sz="4" w:space="0" w:color="auto"/>
              <w:right w:val="nil"/>
            </w:tcBorders>
            <w:shd w:val="clear" w:color="000000" w:fill="DCE6F1"/>
            <w:noWrap/>
            <w:vAlign w:val="center"/>
            <w:hideMark/>
          </w:tcPr>
          <w:p w14:paraId="69CDE59A"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(100‒100)</w:t>
            </w:r>
          </w:p>
        </w:tc>
        <w:tc>
          <w:tcPr>
            <w:tcW w:w="672" w:type="dxa"/>
            <w:vMerge/>
            <w:tcBorders>
              <w:top w:val="single" w:sz="4" w:space="0" w:color="auto"/>
              <w:left w:val="nil"/>
              <w:bottom w:val="single" w:sz="4" w:space="0" w:color="000000"/>
              <w:right w:val="single" w:sz="4" w:space="0" w:color="auto"/>
            </w:tcBorders>
            <w:vAlign w:val="center"/>
            <w:hideMark/>
          </w:tcPr>
          <w:p w14:paraId="1AEE3364" w14:textId="77777777" w:rsidR="00ED1DBF" w:rsidRPr="001342CE" w:rsidRDefault="00ED1DBF" w:rsidP="00D30DFD">
            <w:pPr>
              <w:spacing w:after="0" w:line="240" w:lineRule="auto"/>
              <w:rPr>
                <w:rFonts w:eastAsia="Times New Roman" w:cs="Times New Roman"/>
                <w:color w:val="000000"/>
                <w:sz w:val="20"/>
                <w:szCs w:val="20"/>
              </w:rPr>
            </w:pPr>
          </w:p>
        </w:tc>
        <w:tc>
          <w:tcPr>
            <w:tcW w:w="839" w:type="dxa"/>
            <w:tcBorders>
              <w:top w:val="nil"/>
              <w:left w:val="nil"/>
              <w:bottom w:val="single" w:sz="4" w:space="0" w:color="auto"/>
              <w:right w:val="nil"/>
            </w:tcBorders>
            <w:shd w:val="clear" w:color="000000" w:fill="DCE6F1"/>
            <w:noWrap/>
            <w:vAlign w:val="center"/>
            <w:hideMark/>
          </w:tcPr>
          <w:p w14:paraId="3F365321"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81.25</w:t>
            </w:r>
          </w:p>
        </w:tc>
        <w:tc>
          <w:tcPr>
            <w:tcW w:w="1271" w:type="dxa"/>
            <w:tcBorders>
              <w:top w:val="nil"/>
              <w:left w:val="nil"/>
              <w:bottom w:val="single" w:sz="4" w:space="0" w:color="auto"/>
              <w:right w:val="nil"/>
            </w:tcBorders>
            <w:shd w:val="clear" w:color="000000" w:fill="DCE6F1"/>
            <w:noWrap/>
            <w:vAlign w:val="center"/>
            <w:hideMark/>
          </w:tcPr>
          <w:p w14:paraId="221FDDA0"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(50‒100)</w:t>
            </w:r>
          </w:p>
        </w:tc>
        <w:tc>
          <w:tcPr>
            <w:tcW w:w="675" w:type="dxa"/>
            <w:vMerge/>
            <w:tcBorders>
              <w:top w:val="single" w:sz="4" w:space="0" w:color="auto"/>
              <w:left w:val="nil"/>
              <w:bottom w:val="single" w:sz="4" w:space="0" w:color="000000"/>
              <w:right w:val="single" w:sz="4" w:space="0" w:color="auto"/>
            </w:tcBorders>
            <w:vAlign w:val="center"/>
            <w:hideMark/>
          </w:tcPr>
          <w:p w14:paraId="3B86054A" w14:textId="77777777" w:rsidR="00ED1DBF" w:rsidRPr="001342CE" w:rsidRDefault="00ED1DBF" w:rsidP="00D30DFD">
            <w:pPr>
              <w:spacing w:after="0" w:line="240" w:lineRule="auto"/>
              <w:rPr>
                <w:rFonts w:eastAsia="Times New Roman" w:cs="Times New Roman"/>
                <w:color w:val="000000"/>
                <w:sz w:val="20"/>
                <w:szCs w:val="20"/>
              </w:rPr>
            </w:pPr>
          </w:p>
        </w:tc>
        <w:tc>
          <w:tcPr>
            <w:tcW w:w="839" w:type="dxa"/>
            <w:tcBorders>
              <w:top w:val="nil"/>
              <w:left w:val="nil"/>
              <w:bottom w:val="single" w:sz="4" w:space="0" w:color="auto"/>
              <w:right w:val="nil"/>
            </w:tcBorders>
            <w:shd w:val="clear" w:color="000000" w:fill="DCE6F1"/>
            <w:noWrap/>
            <w:vAlign w:val="center"/>
            <w:hideMark/>
          </w:tcPr>
          <w:p w14:paraId="1F85AA46"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81.25</w:t>
            </w:r>
          </w:p>
        </w:tc>
        <w:tc>
          <w:tcPr>
            <w:tcW w:w="1271" w:type="dxa"/>
            <w:tcBorders>
              <w:top w:val="nil"/>
              <w:left w:val="nil"/>
              <w:bottom w:val="single" w:sz="4" w:space="0" w:color="auto"/>
              <w:right w:val="nil"/>
            </w:tcBorders>
            <w:shd w:val="clear" w:color="000000" w:fill="DCE6F1"/>
            <w:noWrap/>
            <w:vAlign w:val="center"/>
            <w:hideMark/>
          </w:tcPr>
          <w:p w14:paraId="65E1F05B"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(53.1‒100)</w:t>
            </w:r>
          </w:p>
        </w:tc>
        <w:tc>
          <w:tcPr>
            <w:tcW w:w="675" w:type="dxa"/>
            <w:vMerge/>
            <w:tcBorders>
              <w:top w:val="single" w:sz="4" w:space="0" w:color="auto"/>
              <w:left w:val="nil"/>
              <w:bottom w:val="single" w:sz="4" w:space="0" w:color="000000"/>
              <w:right w:val="single" w:sz="4" w:space="0" w:color="auto"/>
            </w:tcBorders>
            <w:vAlign w:val="center"/>
            <w:hideMark/>
          </w:tcPr>
          <w:p w14:paraId="27CEC45A" w14:textId="77777777" w:rsidR="00ED1DBF" w:rsidRPr="001342CE" w:rsidRDefault="00ED1DBF" w:rsidP="00D30DFD">
            <w:pPr>
              <w:spacing w:after="0" w:line="240" w:lineRule="auto"/>
              <w:rPr>
                <w:rFonts w:eastAsia="Times New Roman" w:cs="Times New Roman"/>
                <w:b/>
                <w:bCs/>
                <w:color w:val="000000"/>
                <w:sz w:val="20"/>
                <w:szCs w:val="20"/>
              </w:rPr>
            </w:pPr>
          </w:p>
        </w:tc>
        <w:tc>
          <w:tcPr>
            <w:tcW w:w="839" w:type="dxa"/>
            <w:tcBorders>
              <w:top w:val="nil"/>
              <w:left w:val="nil"/>
              <w:bottom w:val="single" w:sz="4" w:space="0" w:color="auto"/>
              <w:right w:val="nil"/>
            </w:tcBorders>
            <w:shd w:val="clear" w:color="000000" w:fill="DCE6F1"/>
            <w:noWrap/>
            <w:vAlign w:val="center"/>
            <w:hideMark/>
          </w:tcPr>
          <w:p w14:paraId="424F7CBF"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w:t>
            </w:r>
          </w:p>
        </w:tc>
        <w:tc>
          <w:tcPr>
            <w:tcW w:w="1271" w:type="dxa"/>
            <w:tcBorders>
              <w:top w:val="nil"/>
              <w:left w:val="nil"/>
              <w:bottom w:val="single" w:sz="4" w:space="0" w:color="auto"/>
              <w:right w:val="nil"/>
            </w:tcBorders>
            <w:shd w:val="clear" w:color="000000" w:fill="DCE6F1"/>
            <w:noWrap/>
            <w:vAlign w:val="center"/>
            <w:hideMark/>
          </w:tcPr>
          <w:p w14:paraId="7E71933C"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(78.1‒100)</w:t>
            </w:r>
          </w:p>
        </w:tc>
        <w:tc>
          <w:tcPr>
            <w:tcW w:w="675" w:type="dxa"/>
            <w:vMerge/>
            <w:tcBorders>
              <w:top w:val="single" w:sz="4" w:space="0" w:color="auto"/>
              <w:left w:val="nil"/>
              <w:bottom w:val="single" w:sz="4" w:space="0" w:color="000000"/>
              <w:right w:val="single" w:sz="18" w:space="0" w:color="auto"/>
            </w:tcBorders>
            <w:vAlign w:val="center"/>
            <w:hideMark/>
          </w:tcPr>
          <w:p w14:paraId="662A5B8E" w14:textId="77777777" w:rsidR="00ED1DBF" w:rsidRPr="001342CE" w:rsidRDefault="00ED1DBF" w:rsidP="00D30DFD">
            <w:pPr>
              <w:spacing w:after="0" w:line="240" w:lineRule="auto"/>
              <w:rPr>
                <w:rFonts w:eastAsia="Times New Roman" w:cs="Times New Roman"/>
                <w:color w:val="000000"/>
                <w:sz w:val="20"/>
                <w:szCs w:val="20"/>
              </w:rPr>
            </w:pPr>
          </w:p>
        </w:tc>
      </w:tr>
      <w:tr w:rsidR="00ED1DBF" w:rsidRPr="00070D56" w14:paraId="6336FB81" w14:textId="77777777" w:rsidTr="00D30DFD">
        <w:trPr>
          <w:trHeight w:val="300"/>
        </w:trPr>
        <w:tc>
          <w:tcPr>
            <w:tcW w:w="1260" w:type="dxa"/>
            <w:vMerge w:val="restart"/>
            <w:tcBorders>
              <w:top w:val="nil"/>
              <w:left w:val="single" w:sz="18" w:space="0" w:color="auto"/>
              <w:bottom w:val="single" w:sz="4" w:space="0" w:color="000000"/>
              <w:right w:val="nil"/>
            </w:tcBorders>
            <w:shd w:val="clear" w:color="auto" w:fill="auto"/>
            <w:vAlign w:val="center"/>
            <w:hideMark/>
          </w:tcPr>
          <w:p w14:paraId="6E099B85"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 xml:space="preserve">Fear </w:t>
            </w:r>
          </w:p>
        </w:tc>
        <w:tc>
          <w:tcPr>
            <w:tcW w:w="360" w:type="dxa"/>
            <w:tcBorders>
              <w:top w:val="nil"/>
              <w:left w:val="nil"/>
              <w:bottom w:val="nil"/>
              <w:right w:val="single" w:sz="4" w:space="0" w:color="auto"/>
            </w:tcBorders>
            <w:shd w:val="clear" w:color="auto" w:fill="auto"/>
            <w:noWrap/>
            <w:vAlign w:val="bottom"/>
            <w:hideMark/>
          </w:tcPr>
          <w:p w14:paraId="01A024F3"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C</w:t>
            </w:r>
          </w:p>
        </w:tc>
        <w:tc>
          <w:tcPr>
            <w:tcW w:w="838" w:type="dxa"/>
            <w:tcBorders>
              <w:top w:val="nil"/>
              <w:left w:val="nil"/>
              <w:bottom w:val="nil"/>
              <w:right w:val="nil"/>
            </w:tcBorders>
            <w:shd w:val="clear" w:color="auto" w:fill="auto"/>
            <w:noWrap/>
            <w:vAlign w:val="center"/>
            <w:hideMark/>
          </w:tcPr>
          <w:p w14:paraId="77B62A68"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w:t>
            </w:r>
          </w:p>
        </w:tc>
        <w:tc>
          <w:tcPr>
            <w:tcW w:w="1271" w:type="dxa"/>
            <w:tcBorders>
              <w:top w:val="nil"/>
              <w:left w:val="nil"/>
              <w:bottom w:val="nil"/>
              <w:right w:val="nil"/>
            </w:tcBorders>
            <w:shd w:val="clear" w:color="auto" w:fill="auto"/>
            <w:noWrap/>
            <w:vAlign w:val="center"/>
            <w:hideMark/>
          </w:tcPr>
          <w:p w14:paraId="2285D776"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(100‒100)</w:t>
            </w:r>
          </w:p>
        </w:tc>
        <w:tc>
          <w:tcPr>
            <w:tcW w:w="672" w:type="dxa"/>
            <w:vMerge w:val="restart"/>
            <w:tcBorders>
              <w:top w:val="nil"/>
              <w:left w:val="nil"/>
              <w:bottom w:val="single" w:sz="4" w:space="0" w:color="000000"/>
              <w:right w:val="single" w:sz="4" w:space="0" w:color="auto"/>
            </w:tcBorders>
            <w:shd w:val="clear" w:color="auto" w:fill="auto"/>
            <w:noWrap/>
            <w:vAlign w:val="center"/>
            <w:hideMark/>
          </w:tcPr>
          <w:p w14:paraId="03A79CAB"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0.313</w:t>
            </w:r>
          </w:p>
        </w:tc>
        <w:tc>
          <w:tcPr>
            <w:tcW w:w="839" w:type="dxa"/>
            <w:tcBorders>
              <w:top w:val="nil"/>
              <w:left w:val="nil"/>
              <w:bottom w:val="nil"/>
              <w:right w:val="nil"/>
            </w:tcBorders>
            <w:shd w:val="clear" w:color="auto" w:fill="auto"/>
            <w:noWrap/>
            <w:vAlign w:val="center"/>
            <w:hideMark/>
          </w:tcPr>
          <w:p w14:paraId="5031F495"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87.5</w:t>
            </w:r>
          </w:p>
        </w:tc>
        <w:tc>
          <w:tcPr>
            <w:tcW w:w="1271" w:type="dxa"/>
            <w:tcBorders>
              <w:top w:val="nil"/>
              <w:left w:val="nil"/>
              <w:bottom w:val="nil"/>
              <w:right w:val="nil"/>
            </w:tcBorders>
            <w:shd w:val="clear" w:color="auto" w:fill="auto"/>
            <w:noWrap/>
            <w:vAlign w:val="center"/>
            <w:hideMark/>
          </w:tcPr>
          <w:p w14:paraId="2780D544"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(68.8‒100)</w:t>
            </w:r>
          </w:p>
        </w:tc>
        <w:tc>
          <w:tcPr>
            <w:tcW w:w="675" w:type="dxa"/>
            <w:vMerge w:val="restart"/>
            <w:tcBorders>
              <w:top w:val="nil"/>
              <w:left w:val="nil"/>
              <w:bottom w:val="single" w:sz="4" w:space="0" w:color="000000"/>
              <w:right w:val="single" w:sz="4" w:space="0" w:color="auto"/>
            </w:tcBorders>
            <w:shd w:val="clear" w:color="auto" w:fill="auto"/>
            <w:noWrap/>
            <w:vAlign w:val="center"/>
            <w:hideMark/>
          </w:tcPr>
          <w:p w14:paraId="14826314"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0.049</w:t>
            </w:r>
          </w:p>
        </w:tc>
        <w:tc>
          <w:tcPr>
            <w:tcW w:w="839" w:type="dxa"/>
            <w:tcBorders>
              <w:top w:val="nil"/>
              <w:left w:val="nil"/>
              <w:bottom w:val="nil"/>
              <w:right w:val="nil"/>
            </w:tcBorders>
            <w:shd w:val="clear" w:color="auto" w:fill="auto"/>
            <w:noWrap/>
            <w:vAlign w:val="center"/>
            <w:hideMark/>
          </w:tcPr>
          <w:p w14:paraId="691FB3C8"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87.5</w:t>
            </w:r>
          </w:p>
        </w:tc>
        <w:tc>
          <w:tcPr>
            <w:tcW w:w="1271" w:type="dxa"/>
            <w:tcBorders>
              <w:top w:val="nil"/>
              <w:left w:val="nil"/>
              <w:bottom w:val="nil"/>
              <w:right w:val="nil"/>
            </w:tcBorders>
            <w:shd w:val="clear" w:color="auto" w:fill="auto"/>
            <w:noWrap/>
            <w:vAlign w:val="center"/>
            <w:hideMark/>
          </w:tcPr>
          <w:p w14:paraId="0040DE5F"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(50‒96.8)</w:t>
            </w:r>
          </w:p>
        </w:tc>
        <w:tc>
          <w:tcPr>
            <w:tcW w:w="675" w:type="dxa"/>
            <w:vMerge w:val="restart"/>
            <w:tcBorders>
              <w:top w:val="nil"/>
              <w:left w:val="nil"/>
              <w:bottom w:val="single" w:sz="4" w:space="0" w:color="000000"/>
              <w:right w:val="single" w:sz="4" w:space="0" w:color="auto"/>
            </w:tcBorders>
            <w:shd w:val="clear" w:color="auto" w:fill="auto"/>
            <w:noWrap/>
            <w:vAlign w:val="center"/>
            <w:hideMark/>
          </w:tcPr>
          <w:p w14:paraId="539F8667"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0.032</w:t>
            </w:r>
          </w:p>
        </w:tc>
        <w:tc>
          <w:tcPr>
            <w:tcW w:w="839" w:type="dxa"/>
            <w:tcBorders>
              <w:top w:val="nil"/>
              <w:left w:val="nil"/>
              <w:bottom w:val="nil"/>
              <w:right w:val="nil"/>
            </w:tcBorders>
            <w:shd w:val="clear" w:color="auto" w:fill="auto"/>
            <w:noWrap/>
            <w:vAlign w:val="center"/>
            <w:hideMark/>
          </w:tcPr>
          <w:p w14:paraId="29F3F77C"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93.8</w:t>
            </w:r>
          </w:p>
        </w:tc>
        <w:tc>
          <w:tcPr>
            <w:tcW w:w="1271" w:type="dxa"/>
            <w:tcBorders>
              <w:top w:val="nil"/>
              <w:left w:val="nil"/>
              <w:bottom w:val="nil"/>
              <w:right w:val="nil"/>
            </w:tcBorders>
            <w:shd w:val="clear" w:color="auto" w:fill="auto"/>
            <w:noWrap/>
            <w:vAlign w:val="center"/>
            <w:hideMark/>
          </w:tcPr>
          <w:p w14:paraId="0F6A1EA6"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(87.5‒100)</w:t>
            </w:r>
          </w:p>
        </w:tc>
        <w:tc>
          <w:tcPr>
            <w:tcW w:w="675" w:type="dxa"/>
            <w:vMerge w:val="restart"/>
            <w:tcBorders>
              <w:top w:val="nil"/>
              <w:left w:val="nil"/>
              <w:bottom w:val="single" w:sz="4" w:space="0" w:color="000000"/>
              <w:right w:val="single" w:sz="18" w:space="0" w:color="auto"/>
            </w:tcBorders>
            <w:shd w:val="clear" w:color="auto" w:fill="auto"/>
            <w:noWrap/>
            <w:vAlign w:val="center"/>
            <w:hideMark/>
          </w:tcPr>
          <w:p w14:paraId="75268E88"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0.062</w:t>
            </w:r>
          </w:p>
        </w:tc>
      </w:tr>
      <w:tr w:rsidR="00ED1DBF" w:rsidRPr="00070D56" w14:paraId="038D9762" w14:textId="77777777" w:rsidTr="00D30DFD">
        <w:trPr>
          <w:trHeight w:val="60"/>
        </w:trPr>
        <w:tc>
          <w:tcPr>
            <w:tcW w:w="1260" w:type="dxa"/>
            <w:vMerge/>
            <w:tcBorders>
              <w:top w:val="nil"/>
              <w:left w:val="single" w:sz="18" w:space="0" w:color="auto"/>
              <w:bottom w:val="single" w:sz="4" w:space="0" w:color="000000"/>
              <w:right w:val="nil"/>
            </w:tcBorders>
            <w:vAlign w:val="center"/>
            <w:hideMark/>
          </w:tcPr>
          <w:p w14:paraId="4F5B66B1" w14:textId="77777777" w:rsidR="00ED1DBF" w:rsidRPr="001342CE" w:rsidRDefault="00ED1DBF" w:rsidP="00D30DFD">
            <w:pPr>
              <w:spacing w:after="0" w:line="240" w:lineRule="auto"/>
              <w:rPr>
                <w:rFonts w:eastAsia="Times New Roman" w:cs="Times New Roman"/>
                <w:b/>
                <w:bCs/>
                <w:color w:val="000000"/>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14:paraId="007F848C"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S</w:t>
            </w:r>
          </w:p>
        </w:tc>
        <w:tc>
          <w:tcPr>
            <w:tcW w:w="838" w:type="dxa"/>
            <w:tcBorders>
              <w:top w:val="nil"/>
              <w:left w:val="nil"/>
              <w:bottom w:val="single" w:sz="4" w:space="0" w:color="auto"/>
              <w:right w:val="nil"/>
            </w:tcBorders>
            <w:shd w:val="clear" w:color="auto" w:fill="auto"/>
            <w:noWrap/>
            <w:vAlign w:val="center"/>
            <w:hideMark/>
          </w:tcPr>
          <w:p w14:paraId="370CA615"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w:t>
            </w:r>
          </w:p>
        </w:tc>
        <w:tc>
          <w:tcPr>
            <w:tcW w:w="1271" w:type="dxa"/>
            <w:tcBorders>
              <w:top w:val="nil"/>
              <w:left w:val="nil"/>
              <w:bottom w:val="single" w:sz="4" w:space="0" w:color="auto"/>
              <w:right w:val="nil"/>
            </w:tcBorders>
            <w:shd w:val="clear" w:color="auto" w:fill="auto"/>
            <w:noWrap/>
            <w:vAlign w:val="center"/>
            <w:hideMark/>
          </w:tcPr>
          <w:p w14:paraId="7B4C4872"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(100‒100)</w:t>
            </w:r>
          </w:p>
        </w:tc>
        <w:tc>
          <w:tcPr>
            <w:tcW w:w="672" w:type="dxa"/>
            <w:vMerge/>
            <w:tcBorders>
              <w:top w:val="nil"/>
              <w:left w:val="nil"/>
              <w:bottom w:val="single" w:sz="4" w:space="0" w:color="000000"/>
              <w:right w:val="single" w:sz="4" w:space="0" w:color="auto"/>
            </w:tcBorders>
            <w:vAlign w:val="center"/>
            <w:hideMark/>
          </w:tcPr>
          <w:p w14:paraId="38843A65" w14:textId="77777777" w:rsidR="00ED1DBF" w:rsidRPr="001342CE" w:rsidRDefault="00ED1DBF" w:rsidP="00D30DFD">
            <w:pPr>
              <w:spacing w:after="0" w:line="240" w:lineRule="auto"/>
              <w:rPr>
                <w:rFonts w:eastAsia="Times New Roman" w:cs="Times New Roman"/>
                <w:color w:val="000000"/>
                <w:sz w:val="20"/>
                <w:szCs w:val="20"/>
              </w:rPr>
            </w:pPr>
          </w:p>
        </w:tc>
        <w:tc>
          <w:tcPr>
            <w:tcW w:w="839" w:type="dxa"/>
            <w:tcBorders>
              <w:top w:val="nil"/>
              <w:left w:val="nil"/>
              <w:bottom w:val="single" w:sz="4" w:space="0" w:color="auto"/>
              <w:right w:val="nil"/>
            </w:tcBorders>
            <w:shd w:val="clear" w:color="auto" w:fill="auto"/>
            <w:noWrap/>
            <w:vAlign w:val="center"/>
            <w:hideMark/>
          </w:tcPr>
          <w:p w14:paraId="43C10DA2"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100</w:t>
            </w:r>
          </w:p>
        </w:tc>
        <w:tc>
          <w:tcPr>
            <w:tcW w:w="1271" w:type="dxa"/>
            <w:tcBorders>
              <w:top w:val="nil"/>
              <w:left w:val="nil"/>
              <w:bottom w:val="single" w:sz="4" w:space="0" w:color="auto"/>
              <w:right w:val="nil"/>
            </w:tcBorders>
            <w:shd w:val="clear" w:color="auto" w:fill="auto"/>
            <w:noWrap/>
            <w:vAlign w:val="center"/>
            <w:hideMark/>
          </w:tcPr>
          <w:p w14:paraId="6034CAA1"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(82.8‒100)</w:t>
            </w:r>
          </w:p>
        </w:tc>
        <w:tc>
          <w:tcPr>
            <w:tcW w:w="675" w:type="dxa"/>
            <w:vMerge/>
            <w:tcBorders>
              <w:top w:val="nil"/>
              <w:left w:val="nil"/>
              <w:bottom w:val="single" w:sz="4" w:space="0" w:color="000000"/>
              <w:right w:val="single" w:sz="4" w:space="0" w:color="auto"/>
            </w:tcBorders>
            <w:vAlign w:val="center"/>
            <w:hideMark/>
          </w:tcPr>
          <w:p w14:paraId="644E66F7" w14:textId="77777777" w:rsidR="00ED1DBF" w:rsidRPr="001342CE" w:rsidRDefault="00ED1DBF" w:rsidP="00D30DFD">
            <w:pPr>
              <w:spacing w:after="0" w:line="240" w:lineRule="auto"/>
              <w:rPr>
                <w:rFonts w:eastAsia="Times New Roman" w:cs="Times New Roman"/>
                <w:b/>
                <w:bCs/>
                <w:color w:val="000000"/>
                <w:sz w:val="20"/>
                <w:szCs w:val="20"/>
              </w:rPr>
            </w:pPr>
          </w:p>
        </w:tc>
        <w:tc>
          <w:tcPr>
            <w:tcW w:w="839" w:type="dxa"/>
            <w:tcBorders>
              <w:top w:val="nil"/>
              <w:left w:val="nil"/>
              <w:bottom w:val="single" w:sz="4" w:space="0" w:color="auto"/>
              <w:right w:val="nil"/>
            </w:tcBorders>
            <w:shd w:val="clear" w:color="auto" w:fill="auto"/>
            <w:noWrap/>
            <w:vAlign w:val="center"/>
            <w:hideMark/>
          </w:tcPr>
          <w:p w14:paraId="2ED101D3"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100</w:t>
            </w:r>
          </w:p>
        </w:tc>
        <w:tc>
          <w:tcPr>
            <w:tcW w:w="1271" w:type="dxa"/>
            <w:tcBorders>
              <w:top w:val="nil"/>
              <w:left w:val="nil"/>
              <w:bottom w:val="single" w:sz="4" w:space="0" w:color="auto"/>
              <w:right w:val="nil"/>
            </w:tcBorders>
            <w:shd w:val="clear" w:color="auto" w:fill="auto"/>
            <w:noWrap/>
            <w:vAlign w:val="center"/>
            <w:hideMark/>
          </w:tcPr>
          <w:p w14:paraId="233FCB4E"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(76.6‒100)</w:t>
            </w:r>
          </w:p>
        </w:tc>
        <w:tc>
          <w:tcPr>
            <w:tcW w:w="675" w:type="dxa"/>
            <w:vMerge/>
            <w:tcBorders>
              <w:top w:val="nil"/>
              <w:left w:val="nil"/>
              <w:bottom w:val="single" w:sz="4" w:space="0" w:color="000000"/>
              <w:right w:val="single" w:sz="4" w:space="0" w:color="auto"/>
            </w:tcBorders>
            <w:vAlign w:val="center"/>
            <w:hideMark/>
          </w:tcPr>
          <w:p w14:paraId="61672608" w14:textId="77777777" w:rsidR="00ED1DBF" w:rsidRPr="001342CE" w:rsidRDefault="00ED1DBF" w:rsidP="00D30DFD">
            <w:pPr>
              <w:spacing w:after="0" w:line="240" w:lineRule="auto"/>
              <w:rPr>
                <w:rFonts w:eastAsia="Times New Roman" w:cs="Times New Roman"/>
                <w:b/>
                <w:bCs/>
                <w:color w:val="000000"/>
                <w:sz w:val="20"/>
                <w:szCs w:val="20"/>
              </w:rPr>
            </w:pPr>
          </w:p>
        </w:tc>
        <w:tc>
          <w:tcPr>
            <w:tcW w:w="839" w:type="dxa"/>
            <w:tcBorders>
              <w:top w:val="nil"/>
              <w:left w:val="nil"/>
              <w:bottom w:val="single" w:sz="4" w:space="0" w:color="auto"/>
              <w:right w:val="nil"/>
            </w:tcBorders>
            <w:shd w:val="clear" w:color="auto" w:fill="auto"/>
            <w:noWrap/>
            <w:vAlign w:val="center"/>
            <w:hideMark/>
          </w:tcPr>
          <w:p w14:paraId="4D2AF1AC"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w:t>
            </w:r>
          </w:p>
        </w:tc>
        <w:tc>
          <w:tcPr>
            <w:tcW w:w="1271" w:type="dxa"/>
            <w:tcBorders>
              <w:top w:val="nil"/>
              <w:left w:val="nil"/>
              <w:bottom w:val="single" w:sz="4" w:space="0" w:color="auto"/>
              <w:right w:val="nil"/>
            </w:tcBorders>
            <w:shd w:val="clear" w:color="auto" w:fill="auto"/>
            <w:noWrap/>
            <w:vAlign w:val="center"/>
            <w:hideMark/>
          </w:tcPr>
          <w:p w14:paraId="03863B7D"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(90.6‒100)</w:t>
            </w:r>
          </w:p>
        </w:tc>
        <w:tc>
          <w:tcPr>
            <w:tcW w:w="675" w:type="dxa"/>
            <w:vMerge/>
            <w:tcBorders>
              <w:top w:val="nil"/>
              <w:left w:val="nil"/>
              <w:bottom w:val="single" w:sz="4" w:space="0" w:color="000000"/>
              <w:right w:val="single" w:sz="18" w:space="0" w:color="auto"/>
            </w:tcBorders>
            <w:vAlign w:val="center"/>
            <w:hideMark/>
          </w:tcPr>
          <w:p w14:paraId="4FA4E262" w14:textId="77777777" w:rsidR="00ED1DBF" w:rsidRPr="001342CE" w:rsidRDefault="00ED1DBF" w:rsidP="00D30DFD">
            <w:pPr>
              <w:spacing w:after="0" w:line="240" w:lineRule="auto"/>
              <w:rPr>
                <w:rFonts w:eastAsia="Times New Roman" w:cs="Times New Roman"/>
                <w:color w:val="000000"/>
                <w:sz w:val="20"/>
                <w:szCs w:val="20"/>
              </w:rPr>
            </w:pPr>
          </w:p>
        </w:tc>
      </w:tr>
      <w:tr w:rsidR="00ED1DBF" w:rsidRPr="00070D56" w14:paraId="5CE35862" w14:textId="77777777" w:rsidTr="00D30DFD">
        <w:trPr>
          <w:trHeight w:val="300"/>
        </w:trPr>
        <w:tc>
          <w:tcPr>
            <w:tcW w:w="1260" w:type="dxa"/>
            <w:vMerge w:val="restart"/>
            <w:tcBorders>
              <w:top w:val="nil"/>
              <w:left w:val="single" w:sz="18" w:space="0" w:color="auto"/>
              <w:bottom w:val="single" w:sz="4" w:space="0" w:color="000000"/>
              <w:right w:val="nil"/>
            </w:tcBorders>
            <w:shd w:val="clear" w:color="000000" w:fill="DCE6F1"/>
            <w:vAlign w:val="center"/>
            <w:hideMark/>
          </w:tcPr>
          <w:p w14:paraId="69F52C8B"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 xml:space="preserve">Mental Health  </w:t>
            </w:r>
          </w:p>
        </w:tc>
        <w:tc>
          <w:tcPr>
            <w:tcW w:w="360" w:type="dxa"/>
            <w:tcBorders>
              <w:top w:val="nil"/>
              <w:left w:val="nil"/>
              <w:bottom w:val="nil"/>
              <w:right w:val="single" w:sz="4" w:space="0" w:color="auto"/>
            </w:tcBorders>
            <w:shd w:val="clear" w:color="000000" w:fill="DCE6F1"/>
            <w:noWrap/>
            <w:vAlign w:val="bottom"/>
            <w:hideMark/>
          </w:tcPr>
          <w:p w14:paraId="7DBAB532"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C</w:t>
            </w:r>
          </w:p>
        </w:tc>
        <w:tc>
          <w:tcPr>
            <w:tcW w:w="838" w:type="dxa"/>
            <w:tcBorders>
              <w:top w:val="nil"/>
              <w:left w:val="nil"/>
              <w:bottom w:val="nil"/>
              <w:right w:val="nil"/>
            </w:tcBorders>
            <w:shd w:val="clear" w:color="000000" w:fill="DCE6F1"/>
            <w:noWrap/>
            <w:vAlign w:val="center"/>
            <w:hideMark/>
          </w:tcPr>
          <w:p w14:paraId="7EC64429"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w:t>
            </w:r>
          </w:p>
        </w:tc>
        <w:tc>
          <w:tcPr>
            <w:tcW w:w="1271" w:type="dxa"/>
            <w:tcBorders>
              <w:top w:val="nil"/>
              <w:left w:val="nil"/>
              <w:bottom w:val="nil"/>
              <w:right w:val="nil"/>
            </w:tcBorders>
            <w:shd w:val="clear" w:color="000000" w:fill="DCE6F1"/>
            <w:noWrap/>
            <w:vAlign w:val="center"/>
            <w:hideMark/>
          </w:tcPr>
          <w:p w14:paraId="1731C29F"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(100‒100)</w:t>
            </w:r>
          </w:p>
        </w:tc>
        <w:tc>
          <w:tcPr>
            <w:tcW w:w="672" w:type="dxa"/>
            <w:vMerge w:val="restart"/>
            <w:tcBorders>
              <w:top w:val="nil"/>
              <w:left w:val="nil"/>
              <w:bottom w:val="single" w:sz="4" w:space="0" w:color="000000"/>
              <w:right w:val="single" w:sz="4" w:space="0" w:color="auto"/>
            </w:tcBorders>
            <w:shd w:val="clear" w:color="000000" w:fill="DCE6F1"/>
            <w:noWrap/>
            <w:vAlign w:val="center"/>
            <w:hideMark/>
          </w:tcPr>
          <w:p w14:paraId="6B040CA0"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0.309</w:t>
            </w:r>
          </w:p>
        </w:tc>
        <w:tc>
          <w:tcPr>
            <w:tcW w:w="839" w:type="dxa"/>
            <w:tcBorders>
              <w:top w:val="nil"/>
              <w:left w:val="nil"/>
              <w:bottom w:val="nil"/>
              <w:right w:val="nil"/>
            </w:tcBorders>
            <w:shd w:val="clear" w:color="000000" w:fill="DCE6F1"/>
            <w:noWrap/>
            <w:vAlign w:val="center"/>
            <w:hideMark/>
          </w:tcPr>
          <w:p w14:paraId="15653F2D"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70</w:t>
            </w:r>
          </w:p>
        </w:tc>
        <w:tc>
          <w:tcPr>
            <w:tcW w:w="1271" w:type="dxa"/>
            <w:tcBorders>
              <w:top w:val="nil"/>
              <w:left w:val="nil"/>
              <w:bottom w:val="nil"/>
              <w:right w:val="nil"/>
            </w:tcBorders>
            <w:shd w:val="clear" w:color="000000" w:fill="DCE6F1"/>
            <w:noWrap/>
            <w:vAlign w:val="center"/>
            <w:hideMark/>
          </w:tcPr>
          <w:p w14:paraId="68356E4C"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(50‒100)</w:t>
            </w:r>
          </w:p>
        </w:tc>
        <w:tc>
          <w:tcPr>
            <w:tcW w:w="675" w:type="dxa"/>
            <w:vMerge w:val="restart"/>
            <w:tcBorders>
              <w:top w:val="nil"/>
              <w:left w:val="nil"/>
              <w:bottom w:val="single" w:sz="4" w:space="0" w:color="000000"/>
              <w:right w:val="single" w:sz="4" w:space="0" w:color="auto"/>
            </w:tcBorders>
            <w:shd w:val="clear" w:color="000000" w:fill="DCE6F1"/>
            <w:noWrap/>
            <w:vAlign w:val="center"/>
            <w:hideMark/>
          </w:tcPr>
          <w:p w14:paraId="64D5485A"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0.026</w:t>
            </w:r>
          </w:p>
        </w:tc>
        <w:tc>
          <w:tcPr>
            <w:tcW w:w="839" w:type="dxa"/>
            <w:tcBorders>
              <w:top w:val="nil"/>
              <w:left w:val="nil"/>
              <w:bottom w:val="nil"/>
              <w:right w:val="nil"/>
            </w:tcBorders>
            <w:shd w:val="clear" w:color="000000" w:fill="DCE6F1"/>
            <w:noWrap/>
            <w:vAlign w:val="center"/>
            <w:hideMark/>
          </w:tcPr>
          <w:p w14:paraId="6545905E"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70</w:t>
            </w:r>
          </w:p>
        </w:tc>
        <w:tc>
          <w:tcPr>
            <w:tcW w:w="1271" w:type="dxa"/>
            <w:tcBorders>
              <w:top w:val="nil"/>
              <w:left w:val="nil"/>
              <w:bottom w:val="nil"/>
              <w:right w:val="nil"/>
            </w:tcBorders>
            <w:shd w:val="clear" w:color="000000" w:fill="DCE6F1"/>
            <w:noWrap/>
            <w:vAlign w:val="center"/>
            <w:hideMark/>
          </w:tcPr>
          <w:p w14:paraId="38C040AA"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(37.5‒97.5)</w:t>
            </w:r>
          </w:p>
        </w:tc>
        <w:tc>
          <w:tcPr>
            <w:tcW w:w="675" w:type="dxa"/>
            <w:vMerge w:val="restart"/>
            <w:tcBorders>
              <w:top w:val="nil"/>
              <w:left w:val="nil"/>
              <w:bottom w:val="single" w:sz="4" w:space="0" w:color="000000"/>
              <w:right w:val="single" w:sz="4" w:space="0" w:color="auto"/>
            </w:tcBorders>
            <w:shd w:val="clear" w:color="000000" w:fill="DCE6F1"/>
            <w:noWrap/>
            <w:vAlign w:val="center"/>
            <w:hideMark/>
          </w:tcPr>
          <w:p w14:paraId="427D7D6B"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0.054</w:t>
            </w:r>
          </w:p>
        </w:tc>
        <w:tc>
          <w:tcPr>
            <w:tcW w:w="839" w:type="dxa"/>
            <w:tcBorders>
              <w:top w:val="nil"/>
              <w:left w:val="nil"/>
              <w:bottom w:val="nil"/>
              <w:right w:val="nil"/>
            </w:tcBorders>
            <w:shd w:val="clear" w:color="000000" w:fill="DCE6F1"/>
            <w:noWrap/>
            <w:vAlign w:val="center"/>
            <w:hideMark/>
          </w:tcPr>
          <w:p w14:paraId="63414C88"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w:t>
            </w:r>
          </w:p>
        </w:tc>
        <w:tc>
          <w:tcPr>
            <w:tcW w:w="1271" w:type="dxa"/>
            <w:tcBorders>
              <w:top w:val="nil"/>
              <w:left w:val="nil"/>
              <w:bottom w:val="nil"/>
              <w:right w:val="nil"/>
            </w:tcBorders>
            <w:shd w:val="clear" w:color="000000" w:fill="DCE6F1"/>
            <w:noWrap/>
            <w:vAlign w:val="center"/>
            <w:hideMark/>
          </w:tcPr>
          <w:p w14:paraId="5B21F55D"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(75‒100)</w:t>
            </w:r>
          </w:p>
        </w:tc>
        <w:tc>
          <w:tcPr>
            <w:tcW w:w="675" w:type="dxa"/>
            <w:vMerge w:val="restart"/>
            <w:tcBorders>
              <w:top w:val="nil"/>
              <w:left w:val="nil"/>
              <w:bottom w:val="single" w:sz="4" w:space="0" w:color="000000"/>
              <w:right w:val="single" w:sz="18" w:space="0" w:color="auto"/>
            </w:tcBorders>
            <w:shd w:val="clear" w:color="000000" w:fill="DCE6F1"/>
            <w:noWrap/>
            <w:vAlign w:val="center"/>
            <w:hideMark/>
          </w:tcPr>
          <w:p w14:paraId="40CEE992"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0.337</w:t>
            </w:r>
          </w:p>
        </w:tc>
      </w:tr>
      <w:tr w:rsidR="00ED1DBF" w:rsidRPr="00070D56" w14:paraId="0A63C531" w14:textId="77777777" w:rsidTr="00D30DFD">
        <w:trPr>
          <w:trHeight w:val="60"/>
        </w:trPr>
        <w:tc>
          <w:tcPr>
            <w:tcW w:w="1260" w:type="dxa"/>
            <w:vMerge/>
            <w:tcBorders>
              <w:top w:val="nil"/>
              <w:left w:val="single" w:sz="18" w:space="0" w:color="auto"/>
              <w:bottom w:val="single" w:sz="4" w:space="0" w:color="000000"/>
              <w:right w:val="nil"/>
            </w:tcBorders>
            <w:vAlign w:val="center"/>
            <w:hideMark/>
          </w:tcPr>
          <w:p w14:paraId="18C29958" w14:textId="77777777" w:rsidR="00ED1DBF" w:rsidRPr="001342CE" w:rsidRDefault="00ED1DBF" w:rsidP="00D30DFD">
            <w:pPr>
              <w:spacing w:after="0" w:line="240" w:lineRule="auto"/>
              <w:rPr>
                <w:rFonts w:eastAsia="Times New Roman" w:cs="Times New Roman"/>
                <w:b/>
                <w:bCs/>
                <w:color w:val="000000"/>
                <w:sz w:val="20"/>
                <w:szCs w:val="20"/>
              </w:rPr>
            </w:pPr>
          </w:p>
        </w:tc>
        <w:tc>
          <w:tcPr>
            <w:tcW w:w="360" w:type="dxa"/>
            <w:tcBorders>
              <w:top w:val="nil"/>
              <w:left w:val="nil"/>
              <w:bottom w:val="single" w:sz="4" w:space="0" w:color="auto"/>
              <w:right w:val="single" w:sz="4" w:space="0" w:color="auto"/>
            </w:tcBorders>
            <w:shd w:val="clear" w:color="000000" w:fill="DCE6F1"/>
            <w:noWrap/>
            <w:vAlign w:val="bottom"/>
            <w:hideMark/>
          </w:tcPr>
          <w:p w14:paraId="7C819477"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S</w:t>
            </w:r>
          </w:p>
        </w:tc>
        <w:tc>
          <w:tcPr>
            <w:tcW w:w="838" w:type="dxa"/>
            <w:tcBorders>
              <w:top w:val="nil"/>
              <w:left w:val="nil"/>
              <w:bottom w:val="single" w:sz="4" w:space="0" w:color="auto"/>
              <w:right w:val="nil"/>
            </w:tcBorders>
            <w:shd w:val="clear" w:color="000000" w:fill="DCE6F1"/>
            <w:noWrap/>
            <w:vAlign w:val="center"/>
            <w:hideMark/>
          </w:tcPr>
          <w:p w14:paraId="12298EB9"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w:t>
            </w:r>
          </w:p>
        </w:tc>
        <w:tc>
          <w:tcPr>
            <w:tcW w:w="1271" w:type="dxa"/>
            <w:tcBorders>
              <w:top w:val="nil"/>
              <w:left w:val="nil"/>
              <w:bottom w:val="single" w:sz="4" w:space="0" w:color="auto"/>
              <w:right w:val="nil"/>
            </w:tcBorders>
            <w:shd w:val="clear" w:color="000000" w:fill="DCE6F1"/>
            <w:noWrap/>
            <w:vAlign w:val="center"/>
            <w:hideMark/>
          </w:tcPr>
          <w:p w14:paraId="5F54FB7D"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(100‒100)</w:t>
            </w:r>
          </w:p>
        </w:tc>
        <w:tc>
          <w:tcPr>
            <w:tcW w:w="672" w:type="dxa"/>
            <w:vMerge/>
            <w:tcBorders>
              <w:top w:val="nil"/>
              <w:left w:val="nil"/>
              <w:bottom w:val="single" w:sz="4" w:space="0" w:color="000000"/>
              <w:right w:val="single" w:sz="4" w:space="0" w:color="auto"/>
            </w:tcBorders>
            <w:vAlign w:val="center"/>
            <w:hideMark/>
          </w:tcPr>
          <w:p w14:paraId="5A40D1A9" w14:textId="77777777" w:rsidR="00ED1DBF" w:rsidRPr="001342CE" w:rsidRDefault="00ED1DBF" w:rsidP="00D30DFD">
            <w:pPr>
              <w:spacing w:after="0" w:line="240" w:lineRule="auto"/>
              <w:rPr>
                <w:rFonts w:eastAsia="Times New Roman" w:cs="Times New Roman"/>
                <w:color w:val="000000"/>
                <w:sz w:val="20"/>
                <w:szCs w:val="20"/>
              </w:rPr>
            </w:pPr>
          </w:p>
        </w:tc>
        <w:tc>
          <w:tcPr>
            <w:tcW w:w="839" w:type="dxa"/>
            <w:tcBorders>
              <w:top w:val="nil"/>
              <w:left w:val="nil"/>
              <w:bottom w:val="single" w:sz="4" w:space="0" w:color="auto"/>
              <w:right w:val="nil"/>
            </w:tcBorders>
            <w:shd w:val="clear" w:color="000000" w:fill="DCE6F1"/>
            <w:noWrap/>
            <w:vAlign w:val="center"/>
            <w:hideMark/>
          </w:tcPr>
          <w:p w14:paraId="03B825C7"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100</w:t>
            </w:r>
          </w:p>
        </w:tc>
        <w:tc>
          <w:tcPr>
            <w:tcW w:w="1271" w:type="dxa"/>
            <w:tcBorders>
              <w:top w:val="nil"/>
              <w:left w:val="nil"/>
              <w:bottom w:val="single" w:sz="4" w:space="0" w:color="auto"/>
              <w:right w:val="nil"/>
            </w:tcBorders>
            <w:shd w:val="clear" w:color="000000" w:fill="DCE6F1"/>
            <w:noWrap/>
            <w:vAlign w:val="center"/>
            <w:hideMark/>
          </w:tcPr>
          <w:p w14:paraId="4A8DED8D"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(81.3‒100)</w:t>
            </w:r>
          </w:p>
        </w:tc>
        <w:tc>
          <w:tcPr>
            <w:tcW w:w="675" w:type="dxa"/>
            <w:vMerge/>
            <w:tcBorders>
              <w:top w:val="nil"/>
              <w:left w:val="nil"/>
              <w:bottom w:val="single" w:sz="4" w:space="0" w:color="000000"/>
              <w:right w:val="single" w:sz="4" w:space="0" w:color="auto"/>
            </w:tcBorders>
            <w:vAlign w:val="center"/>
            <w:hideMark/>
          </w:tcPr>
          <w:p w14:paraId="41DF2525" w14:textId="77777777" w:rsidR="00ED1DBF" w:rsidRPr="001342CE" w:rsidRDefault="00ED1DBF" w:rsidP="00D30DFD">
            <w:pPr>
              <w:spacing w:after="0" w:line="240" w:lineRule="auto"/>
              <w:rPr>
                <w:rFonts w:eastAsia="Times New Roman" w:cs="Times New Roman"/>
                <w:b/>
                <w:bCs/>
                <w:color w:val="000000"/>
                <w:sz w:val="20"/>
                <w:szCs w:val="20"/>
              </w:rPr>
            </w:pPr>
          </w:p>
        </w:tc>
        <w:tc>
          <w:tcPr>
            <w:tcW w:w="839" w:type="dxa"/>
            <w:tcBorders>
              <w:top w:val="nil"/>
              <w:left w:val="nil"/>
              <w:bottom w:val="single" w:sz="4" w:space="0" w:color="auto"/>
              <w:right w:val="nil"/>
            </w:tcBorders>
            <w:shd w:val="clear" w:color="000000" w:fill="DCE6F1"/>
            <w:noWrap/>
            <w:vAlign w:val="center"/>
            <w:hideMark/>
          </w:tcPr>
          <w:p w14:paraId="28A0DE00"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95</w:t>
            </w:r>
          </w:p>
        </w:tc>
        <w:tc>
          <w:tcPr>
            <w:tcW w:w="1271" w:type="dxa"/>
            <w:tcBorders>
              <w:top w:val="nil"/>
              <w:left w:val="nil"/>
              <w:bottom w:val="single" w:sz="4" w:space="0" w:color="auto"/>
              <w:right w:val="nil"/>
            </w:tcBorders>
            <w:shd w:val="clear" w:color="000000" w:fill="DCE6F1"/>
            <w:noWrap/>
            <w:vAlign w:val="center"/>
            <w:hideMark/>
          </w:tcPr>
          <w:p w14:paraId="3E716C82"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(77.5‒100)</w:t>
            </w:r>
          </w:p>
        </w:tc>
        <w:tc>
          <w:tcPr>
            <w:tcW w:w="675" w:type="dxa"/>
            <w:vMerge/>
            <w:tcBorders>
              <w:top w:val="nil"/>
              <w:left w:val="nil"/>
              <w:bottom w:val="single" w:sz="4" w:space="0" w:color="000000"/>
              <w:right w:val="single" w:sz="4" w:space="0" w:color="auto"/>
            </w:tcBorders>
            <w:vAlign w:val="center"/>
            <w:hideMark/>
          </w:tcPr>
          <w:p w14:paraId="205C8E25" w14:textId="77777777" w:rsidR="00ED1DBF" w:rsidRPr="001342CE" w:rsidRDefault="00ED1DBF" w:rsidP="00D30DFD">
            <w:pPr>
              <w:spacing w:after="0" w:line="240" w:lineRule="auto"/>
              <w:rPr>
                <w:rFonts w:eastAsia="Times New Roman" w:cs="Times New Roman"/>
                <w:color w:val="000000"/>
                <w:sz w:val="20"/>
                <w:szCs w:val="20"/>
              </w:rPr>
            </w:pPr>
          </w:p>
        </w:tc>
        <w:tc>
          <w:tcPr>
            <w:tcW w:w="839" w:type="dxa"/>
            <w:tcBorders>
              <w:top w:val="nil"/>
              <w:left w:val="nil"/>
              <w:bottom w:val="single" w:sz="4" w:space="0" w:color="auto"/>
              <w:right w:val="nil"/>
            </w:tcBorders>
            <w:shd w:val="clear" w:color="000000" w:fill="DCE6F1"/>
            <w:noWrap/>
            <w:vAlign w:val="center"/>
            <w:hideMark/>
          </w:tcPr>
          <w:p w14:paraId="19C5EFE5"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w:t>
            </w:r>
          </w:p>
        </w:tc>
        <w:tc>
          <w:tcPr>
            <w:tcW w:w="1271" w:type="dxa"/>
            <w:tcBorders>
              <w:top w:val="nil"/>
              <w:left w:val="nil"/>
              <w:bottom w:val="single" w:sz="4" w:space="0" w:color="auto"/>
              <w:right w:val="nil"/>
            </w:tcBorders>
            <w:shd w:val="clear" w:color="000000" w:fill="DCE6F1"/>
            <w:noWrap/>
            <w:vAlign w:val="center"/>
            <w:hideMark/>
          </w:tcPr>
          <w:p w14:paraId="5990DE7C"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(82.5‒100)</w:t>
            </w:r>
          </w:p>
        </w:tc>
        <w:tc>
          <w:tcPr>
            <w:tcW w:w="675" w:type="dxa"/>
            <w:vMerge/>
            <w:tcBorders>
              <w:top w:val="nil"/>
              <w:left w:val="nil"/>
              <w:bottom w:val="single" w:sz="4" w:space="0" w:color="000000"/>
              <w:right w:val="single" w:sz="18" w:space="0" w:color="auto"/>
            </w:tcBorders>
            <w:vAlign w:val="center"/>
            <w:hideMark/>
          </w:tcPr>
          <w:p w14:paraId="25B42107" w14:textId="77777777" w:rsidR="00ED1DBF" w:rsidRPr="001342CE" w:rsidRDefault="00ED1DBF" w:rsidP="00D30DFD">
            <w:pPr>
              <w:spacing w:after="0" w:line="240" w:lineRule="auto"/>
              <w:rPr>
                <w:rFonts w:eastAsia="Times New Roman" w:cs="Times New Roman"/>
                <w:color w:val="000000"/>
                <w:sz w:val="20"/>
                <w:szCs w:val="20"/>
              </w:rPr>
            </w:pPr>
          </w:p>
        </w:tc>
      </w:tr>
      <w:tr w:rsidR="00ED1DBF" w:rsidRPr="00070D56" w14:paraId="3658D751" w14:textId="77777777" w:rsidTr="00D30DFD">
        <w:trPr>
          <w:trHeight w:val="300"/>
        </w:trPr>
        <w:tc>
          <w:tcPr>
            <w:tcW w:w="1260" w:type="dxa"/>
            <w:vMerge w:val="restart"/>
            <w:tcBorders>
              <w:top w:val="nil"/>
              <w:left w:val="single" w:sz="18" w:space="0" w:color="auto"/>
              <w:bottom w:val="single" w:sz="4" w:space="0" w:color="000000"/>
              <w:right w:val="nil"/>
            </w:tcBorders>
            <w:shd w:val="clear" w:color="auto" w:fill="auto"/>
            <w:vAlign w:val="center"/>
            <w:hideMark/>
          </w:tcPr>
          <w:p w14:paraId="30908C65"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Food Section</w:t>
            </w:r>
          </w:p>
        </w:tc>
        <w:tc>
          <w:tcPr>
            <w:tcW w:w="360" w:type="dxa"/>
            <w:tcBorders>
              <w:top w:val="nil"/>
              <w:left w:val="nil"/>
              <w:bottom w:val="nil"/>
              <w:right w:val="single" w:sz="4" w:space="0" w:color="auto"/>
            </w:tcBorders>
            <w:shd w:val="clear" w:color="auto" w:fill="auto"/>
            <w:noWrap/>
            <w:vAlign w:val="bottom"/>
            <w:hideMark/>
          </w:tcPr>
          <w:p w14:paraId="3466BCE2"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C</w:t>
            </w:r>
          </w:p>
        </w:tc>
        <w:tc>
          <w:tcPr>
            <w:tcW w:w="838" w:type="dxa"/>
            <w:tcBorders>
              <w:top w:val="nil"/>
              <w:left w:val="nil"/>
              <w:bottom w:val="nil"/>
              <w:right w:val="nil"/>
            </w:tcBorders>
            <w:shd w:val="clear" w:color="auto" w:fill="auto"/>
            <w:noWrap/>
            <w:vAlign w:val="center"/>
            <w:hideMark/>
          </w:tcPr>
          <w:p w14:paraId="6468FACC"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w:t>
            </w:r>
          </w:p>
        </w:tc>
        <w:tc>
          <w:tcPr>
            <w:tcW w:w="1271" w:type="dxa"/>
            <w:tcBorders>
              <w:top w:val="nil"/>
              <w:left w:val="nil"/>
              <w:bottom w:val="nil"/>
              <w:right w:val="nil"/>
            </w:tcBorders>
            <w:shd w:val="clear" w:color="auto" w:fill="auto"/>
            <w:noWrap/>
            <w:vAlign w:val="center"/>
            <w:hideMark/>
          </w:tcPr>
          <w:p w14:paraId="2A6A5601"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(100‒100)</w:t>
            </w:r>
          </w:p>
        </w:tc>
        <w:tc>
          <w:tcPr>
            <w:tcW w:w="672" w:type="dxa"/>
            <w:vMerge w:val="restart"/>
            <w:tcBorders>
              <w:top w:val="nil"/>
              <w:left w:val="nil"/>
              <w:bottom w:val="single" w:sz="4" w:space="0" w:color="000000"/>
              <w:right w:val="single" w:sz="4" w:space="0" w:color="auto"/>
            </w:tcBorders>
            <w:shd w:val="clear" w:color="auto" w:fill="auto"/>
            <w:noWrap/>
            <w:vAlign w:val="center"/>
            <w:hideMark/>
          </w:tcPr>
          <w:p w14:paraId="4C721B6F"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0.583</w:t>
            </w:r>
          </w:p>
        </w:tc>
        <w:tc>
          <w:tcPr>
            <w:tcW w:w="839" w:type="dxa"/>
            <w:tcBorders>
              <w:top w:val="nil"/>
              <w:left w:val="nil"/>
              <w:bottom w:val="nil"/>
              <w:right w:val="nil"/>
            </w:tcBorders>
            <w:shd w:val="clear" w:color="auto" w:fill="auto"/>
            <w:noWrap/>
            <w:vAlign w:val="center"/>
            <w:hideMark/>
          </w:tcPr>
          <w:p w14:paraId="50935E92"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75</w:t>
            </w:r>
          </w:p>
        </w:tc>
        <w:tc>
          <w:tcPr>
            <w:tcW w:w="1271" w:type="dxa"/>
            <w:tcBorders>
              <w:top w:val="nil"/>
              <w:left w:val="nil"/>
              <w:bottom w:val="nil"/>
              <w:right w:val="nil"/>
            </w:tcBorders>
            <w:shd w:val="clear" w:color="auto" w:fill="auto"/>
            <w:noWrap/>
            <w:vAlign w:val="center"/>
            <w:hideMark/>
          </w:tcPr>
          <w:p w14:paraId="409FDA6F"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(28.1‒87.5)</w:t>
            </w:r>
          </w:p>
        </w:tc>
        <w:tc>
          <w:tcPr>
            <w:tcW w:w="675" w:type="dxa"/>
            <w:vMerge w:val="restart"/>
            <w:tcBorders>
              <w:top w:val="nil"/>
              <w:left w:val="nil"/>
              <w:bottom w:val="single" w:sz="4" w:space="0" w:color="000000"/>
              <w:right w:val="single" w:sz="4" w:space="0" w:color="auto"/>
            </w:tcBorders>
            <w:shd w:val="clear" w:color="auto" w:fill="auto"/>
            <w:noWrap/>
            <w:vAlign w:val="center"/>
            <w:hideMark/>
          </w:tcPr>
          <w:p w14:paraId="4F8BB488"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0.06</w:t>
            </w:r>
          </w:p>
        </w:tc>
        <w:tc>
          <w:tcPr>
            <w:tcW w:w="839" w:type="dxa"/>
            <w:tcBorders>
              <w:top w:val="nil"/>
              <w:left w:val="nil"/>
              <w:bottom w:val="nil"/>
              <w:right w:val="nil"/>
            </w:tcBorders>
            <w:shd w:val="clear" w:color="auto" w:fill="auto"/>
            <w:noWrap/>
            <w:vAlign w:val="center"/>
            <w:hideMark/>
          </w:tcPr>
          <w:p w14:paraId="3D99A7F0"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50</w:t>
            </w:r>
          </w:p>
        </w:tc>
        <w:tc>
          <w:tcPr>
            <w:tcW w:w="1271" w:type="dxa"/>
            <w:tcBorders>
              <w:top w:val="nil"/>
              <w:left w:val="nil"/>
              <w:bottom w:val="nil"/>
              <w:right w:val="nil"/>
            </w:tcBorders>
            <w:shd w:val="clear" w:color="auto" w:fill="auto"/>
            <w:noWrap/>
            <w:vAlign w:val="center"/>
            <w:hideMark/>
          </w:tcPr>
          <w:p w14:paraId="4ACC768E"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(25‒100)</w:t>
            </w:r>
          </w:p>
        </w:tc>
        <w:tc>
          <w:tcPr>
            <w:tcW w:w="675" w:type="dxa"/>
            <w:vMerge w:val="restart"/>
            <w:tcBorders>
              <w:top w:val="nil"/>
              <w:left w:val="nil"/>
              <w:bottom w:val="single" w:sz="4" w:space="0" w:color="000000"/>
              <w:right w:val="single" w:sz="4" w:space="0" w:color="auto"/>
            </w:tcBorders>
            <w:shd w:val="clear" w:color="auto" w:fill="auto"/>
            <w:noWrap/>
            <w:vAlign w:val="center"/>
            <w:hideMark/>
          </w:tcPr>
          <w:p w14:paraId="20ED13A8"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0.034</w:t>
            </w:r>
          </w:p>
        </w:tc>
        <w:tc>
          <w:tcPr>
            <w:tcW w:w="839" w:type="dxa"/>
            <w:tcBorders>
              <w:top w:val="nil"/>
              <w:left w:val="nil"/>
              <w:bottom w:val="nil"/>
              <w:right w:val="nil"/>
            </w:tcBorders>
            <w:shd w:val="clear" w:color="auto" w:fill="auto"/>
            <w:noWrap/>
            <w:vAlign w:val="center"/>
            <w:hideMark/>
          </w:tcPr>
          <w:p w14:paraId="4217E75A"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w:t>
            </w:r>
          </w:p>
        </w:tc>
        <w:tc>
          <w:tcPr>
            <w:tcW w:w="1271" w:type="dxa"/>
            <w:tcBorders>
              <w:top w:val="nil"/>
              <w:left w:val="nil"/>
              <w:bottom w:val="nil"/>
              <w:right w:val="nil"/>
            </w:tcBorders>
            <w:shd w:val="clear" w:color="auto" w:fill="auto"/>
            <w:noWrap/>
            <w:vAlign w:val="center"/>
            <w:hideMark/>
          </w:tcPr>
          <w:p w14:paraId="2A1340F0"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(75‒100)</w:t>
            </w:r>
          </w:p>
        </w:tc>
        <w:tc>
          <w:tcPr>
            <w:tcW w:w="675" w:type="dxa"/>
            <w:vMerge w:val="restart"/>
            <w:tcBorders>
              <w:top w:val="nil"/>
              <w:left w:val="nil"/>
              <w:bottom w:val="single" w:sz="4" w:space="0" w:color="000000"/>
              <w:right w:val="single" w:sz="18" w:space="0" w:color="auto"/>
            </w:tcBorders>
            <w:shd w:val="clear" w:color="auto" w:fill="auto"/>
            <w:noWrap/>
            <w:vAlign w:val="center"/>
            <w:hideMark/>
          </w:tcPr>
          <w:p w14:paraId="3FAEF77A"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0.298</w:t>
            </w:r>
          </w:p>
        </w:tc>
      </w:tr>
      <w:tr w:rsidR="00ED1DBF" w:rsidRPr="00070D56" w14:paraId="5E71EFC9" w14:textId="77777777" w:rsidTr="00D30DFD">
        <w:trPr>
          <w:trHeight w:val="60"/>
        </w:trPr>
        <w:tc>
          <w:tcPr>
            <w:tcW w:w="1260" w:type="dxa"/>
            <w:vMerge/>
            <w:tcBorders>
              <w:top w:val="nil"/>
              <w:left w:val="single" w:sz="18" w:space="0" w:color="auto"/>
              <w:bottom w:val="single" w:sz="4" w:space="0" w:color="000000"/>
              <w:right w:val="nil"/>
            </w:tcBorders>
            <w:vAlign w:val="center"/>
            <w:hideMark/>
          </w:tcPr>
          <w:p w14:paraId="094909A8" w14:textId="77777777" w:rsidR="00ED1DBF" w:rsidRPr="001342CE" w:rsidRDefault="00ED1DBF" w:rsidP="00D30DFD">
            <w:pPr>
              <w:spacing w:after="0" w:line="240" w:lineRule="auto"/>
              <w:rPr>
                <w:rFonts w:eastAsia="Times New Roman" w:cs="Times New Roman"/>
                <w:b/>
                <w:bCs/>
                <w:color w:val="000000"/>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14:paraId="52043398"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S</w:t>
            </w:r>
          </w:p>
        </w:tc>
        <w:tc>
          <w:tcPr>
            <w:tcW w:w="838" w:type="dxa"/>
            <w:tcBorders>
              <w:top w:val="nil"/>
              <w:left w:val="nil"/>
              <w:bottom w:val="single" w:sz="4" w:space="0" w:color="auto"/>
              <w:right w:val="nil"/>
            </w:tcBorders>
            <w:shd w:val="clear" w:color="auto" w:fill="auto"/>
            <w:noWrap/>
            <w:vAlign w:val="center"/>
            <w:hideMark/>
          </w:tcPr>
          <w:p w14:paraId="063C2597"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w:t>
            </w:r>
          </w:p>
        </w:tc>
        <w:tc>
          <w:tcPr>
            <w:tcW w:w="1271" w:type="dxa"/>
            <w:tcBorders>
              <w:top w:val="nil"/>
              <w:left w:val="nil"/>
              <w:bottom w:val="single" w:sz="4" w:space="0" w:color="auto"/>
              <w:right w:val="nil"/>
            </w:tcBorders>
            <w:shd w:val="clear" w:color="auto" w:fill="auto"/>
            <w:noWrap/>
            <w:vAlign w:val="center"/>
            <w:hideMark/>
          </w:tcPr>
          <w:p w14:paraId="4C7ABD63"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(100‒100)</w:t>
            </w:r>
          </w:p>
        </w:tc>
        <w:tc>
          <w:tcPr>
            <w:tcW w:w="672" w:type="dxa"/>
            <w:vMerge/>
            <w:tcBorders>
              <w:top w:val="nil"/>
              <w:left w:val="nil"/>
              <w:bottom w:val="single" w:sz="4" w:space="0" w:color="000000"/>
              <w:right w:val="single" w:sz="4" w:space="0" w:color="auto"/>
            </w:tcBorders>
            <w:vAlign w:val="center"/>
            <w:hideMark/>
          </w:tcPr>
          <w:p w14:paraId="1BC06D43" w14:textId="77777777" w:rsidR="00ED1DBF" w:rsidRPr="001342CE" w:rsidRDefault="00ED1DBF" w:rsidP="00D30DFD">
            <w:pPr>
              <w:spacing w:after="0" w:line="240" w:lineRule="auto"/>
              <w:rPr>
                <w:rFonts w:eastAsia="Times New Roman" w:cs="Times New Roman"/>
                <w:color w:val="000000"/>
                <w:sz w:val="20"/>
                <w:szCs w:val="20"/>
              </w:rPr>
            </w:pPr>
          </w:p>
        </w:tc>
        <w:tc>
          <w:tcPr>
            <w:tcW w:w="839" w:type="dxa"/>
            <w:tcBorders>
              <w:top w:val="nil"/>
              <w:left w:val="nil"/>
              <w:bottom w:val="single" w:sz="4" w:space="0" w:color="auto"/>
              <w:right w:val="nil"/>
            </w:tcBorders>
            <w:shd w:val="clear" w:color="auto" w:fill="auto"/>
            <w:noWrap/>
            <w:vAlign w:val="center"/>
            <w:hideMark/>
          </w:tcPr>
          <w:p w14:paraId="402C6534"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93.8</w:t>
            </w:r>
          </w:p>
        </w:tc>
        <w:tc>
          <w:tcPr>
            <w:tcW w:w="1271" w:type="dxa"/>
            <w:tcBorders>
              <w:top w:val="nil"/>
              <w:left w:val="nil"/>
              <w:bottom w:val="single" w:sz="4" w:space="0" w:color="auto"/>
              <w:right w:val="nil"/>
            </w:tcBorders>
            <w:shd w:val="clear" w:color="auto" w:fill="auto"/>
            <w:noWrap/>
            <w:vAlign w:val="center"/>
            <w:hideMark/>
          </w:tcPr>
          <w:p w14:paraId="023348C5"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(50‒100)</w:t>
            </w:r>
          </w:p>
        </w:tc>
        <w:tc>
          <w:tcPr>
            <w:tcW w:w="675" w:type="dxa"/>
            <w:vMerge/>
            <w:tcBorders>
              <w:top w:val="nil"/>
              <w:left w:val="nil"/>
              <w:bottom w:val="single" w:sz="4" w:space="0" w:color="000000"/>
              <w:right w:val="single" w:sz="4" w:space="0" w:color="auto"/>
            </w:tcBorders>
            <w:vAlign w:val="center"/>
            <w:hideMark/>
          </w:tcPr>
          <w:p w14:paraId="047B6EFC" w14:textId="77777777" w:rsidR="00ED1DBF" w:rsidRPr="001342CE" w:rsidRDefault="00ED1DBF" w:rsidP="00D30DFD">
            <w:pPr>
              <w:spacing w:after="0" w:line="240" w:lineRule="auto"/>
              <w:rPr>
                <w:rFonts w:eastAsia="Times New Roman" w:cs="Times New Roman"/>
                <w:color w:val="000000"/>
                <w:sz w:val="20"/>
                <w:szCs w:val="20"/>
              </w:rPr>
            </w:pPr>
          </w:p>
        </w:tc>
        <w:tc>
          <w:tcPr>
            <w:tcW w:w="839" w:type="dxa"/>
            <w:tcBorders>
              <w:top w:val="nil"/>
              <w:left w:val="nil"/>
              <w:bottom w:val="single" w:sz="4" w:space="0" w:color="auto"/>
              <w:right w:val="nil"/>
            </w:tcBorders>
            <w:shd w:val="clear" w:color="auto" w:fill="auto"/>
            <w:noWrap/>
            <w:vAlign w:val="center"/>
            <w:hideMark/>
          </w:tcPr>
          <w:p w14:paraId="0E5D5C9E"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100</w:t>
            </w:r>
          </w:p>
        </w:tc>
        <w:tc>
          <w:tcPr>
            <w:tcW w:w="1271" w:type="dxa"/>
            <w:tcBorders>
              <w:top w:val="nil"/>
              <w:left w:val="nil"/>
              <w:bottom w:val="single" w:sz="4" w:space="0" w:color="auto"/>
              <w:right w:val="nil"/>
            </w:tcBorders>
            <w:shd w:val="clear" w:color="auto" w:fill="auto"/>
            <w:noWrap/>
            <w:vAlign w:val="center"/>
            <w:hideMark/>
          </w:tcPr>
          <w:p w14:paraId="2EB6E42B"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(53.1‒100)</w:t>
            </w:r>
          </w:p>
        </w:tc>
        <w:tc>
          <w:tcPr>
            <w:tcW w:w="675" w:type="dxa"/>
            <w:vMerge/>
            <w:tcBorders>
              <w:top w:val="nil"/>
              <w:left w:val="nil"/>
              <w:bottom w:val="single" w:sz="4" w:space="0" w:color="000000"/>
              <w:right w:val="single" w:sz="4" w:space="0" w:color="auto"/>
            </w:tcBorders>
            <w:vAlign w:val="center"/>
            <w:hideMark/>
          </w:tcPr>
          <w:p w14:paraId="395C1ADA" w14:textId="77777777" w:rsidR="00ED1DBF" w:rsidRPr="001342CE" w:rsidRDefault="00ED1DBF" w:rsidP="00D30DFD">
            <w:pPr>
              <w:spacing w:after="0" w:line="240" w:lineRule="auto"/>
              <w:rPr>
                <w:rFonts w:eastAsia="Times New Roman" w:cs="Times New Roman"/>
                <w:b/>
                <w:bCs/>
                <w:color w:val="000000"/>
                <w:sz w:val="20"/>
                <w:szCs w:val="20"/>
              </w:rPr>
            </w:pPr>
          </w:p>
        </w:tc>
        <w:tc>
          <w:tcPr>
            <w:tcW w:w="839" w:type="dxa"/>
            <w:tcBorders>
              <w:top w:val="nil"/>
              <w:left w:val="nil"/>
              <w:bottom w:val="single" w:sz="4" w:space="0" w:color="auto"/>
              <w:right w:val="nil"/>
            </w:tcBorders>
            <w:shd w:val="clear" w:color="auto" w:fill="auto"/>
            <w:noWrap/>
            <w:vAlign w:val="center"/>
            <w:hideMark/>
          </w:tcPr>
          <w:p w14:paraId="1D7EFB7F"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w:t>
            </w:r>
          </w:p>
        </w:tc>
        <w:tc>
          <w:tcPr>
            <w:tcW w:w="1271" w:type="dxa"/>
            <w:tcBorders>
              <w:top w:val="nil"/>
              <w:left w:val="nil"/>
              <w:bottom w:val="single" w:sz="4" w:space="0" w:color="auto"/>
              <w:right w:val="nil"/>
            </w:tcBorders>
            <w:shd w:val="clear" w:color="auto" w:fill="auto"/>
            <w:noWrap/>
            <w:vAlign w:val="center"/>
            <w:hideMark/>
          </w:tcPr>
          <w:p w14:paraId="2B82EE49"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(100‒100)</w:t>
            </w:r>
          </w:p>
        </w:tc>
        <w:tc>
          <w:tcPr>
            <w:tcW w:w="675" w:type="dxa"/>
            <w:vMerge/>
            <w:tcBorders>
              <w:top w:val="nil"/>
              <w:left w:val="nil"/>
              <w:bottom w:val="single" w:sz="4" w:space="0" w:color="000000"/>
              <w:right w:val="single" w:sz="18" w:space="0" w:color="auto"/>
            </w:tcBorders>
            <w:vAlign w:val="center"/>
            <w:hideMark/>
          </w:tcPr>
          <w:p w14:paraId="58FC345E" w14:textId="77777777" w:rsidR="00ED1DBF" w:rsidRPr="001342CE" w:rsidRDefault="00ED1DBF" w:rsidP="00D30DFD">
            <w:pPr>
              <w:spacing w:after="0" w:line="240" w:lineRule="auto"/>
              <w:rPr>
                <w:rFonts w:eastAsia="Times New Roman" w:cs="Times New Roman"/>
                <w:color w:val="000000"/>
                <w:sz w:val="20"/>
                <w:szCs w:val="20"/>
              </w:rPr>
            </w:pPr>
          </w:p>
        </w:tc>
      </w:tr>
      <w:tr w:rsidR="00ED1DBF" w:rsidRPr="00070D56" w14:paraId="2D4EF4B8" w14:textId="77777777" w:rsidTr="00D30DFD">
        <w:trPr>
          <w:trHeight w:val="300"/>
        </w:trPr>
        <w:tc>
          <w:tcPr>
            <w:tcW w:w="1260" w:type="dxa"/>
            <w:vMerge w:val="restart"/>
            <w:tcBorders>
              <w:top w:val="nil"/>
              <w:left w:val="single" w:sz="18" w:space="0" w:color="auto"/>
              <w:bottom w:val="single" w:sz="8" w:space="0" w:color="000000"/>
              <w:right w:val="nil"/>
            </w:tcBorders>
            <w:shd w:val="clear" w:color="000000" w:fill="DCE6F1"/>
            <w:vAlign w:val="center"/>
            <w:hideMark/>
          </w:tcPr>
          <w:p w14:paraId="5408D29A"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 xml:space="preserve">Eating Duration </w:t>
            </w:r>
          </w:p>
        </w:tc>
        <w:tc>
          <w:tcPr>
            <w:tcW w:w="360" w:type="dxa"/>
            <w:tcBorders>
              <w:top w:val="nil"/>
              <w:left w:val="nil"/>
              <w:bottom w:val="nil"/>
              <w:right w:val="single" w:sz="4" w:space="0" w:color="auto"/>
            </w:tcBorders>
            <w:shd w:val="clear" w:color="000000" w:fill="DCE6F1"/>
            <w:noWrap/>
            <w:vAlign w:val="bottom"/>
            <w:hideMark/>
          </w:tcPr>
          <w:p w14:paraId="71843CF4"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C</w:t>
            </w:r>
          </w:p>
        </w:tc>
        <w:tc>
          <w:tcPr>
            <w:tcW w:w="838" w:type="dxa"/>
            <w:tcBorders>
              <w:top w:val="nil"/>
              <w:left w:val="nil"/>
              <w:bottom w:val="nil"/>
              <w:right w:val="nil"/>
            </w:tcBorders>
            <w:shd w:val="clear" w:color="000000" w:fill="DCE6F1"/>
            <w:noWrap/>
            <w:vAlign w:val="center"/>
            <w:hideMark/>
          </w:tcPr>
          <w:p w14:paraId="792342C4"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w:t>
            </w:r>
          </w:p>
        </w:tc>
        <w:tc>
          <w:tcPr>
            <w:tcW w:w="1271" w:type="dxa"/>
            <w:tcBorders>
              <w:top w:val="nil"/>
              <w:left w:val="nil"/>
              <w:bottom w:val="nil"/>
              <w:right w:val="nil"/>
            </w:tcBorders>
            <w:shd w:val="clear" w:color="000000" w:fill="DCE6F1"/>
            <w:noWrap/>
            <w:vAlign w:val="center"/>
            <w:hideMark/>
          </w:tcPr>
          <w:p w14:paraId="58C54938"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(100‒100)</w:t>
            </w:r>
          </w:p>
        </w:tc>
        <w:tc>
          <w:tcPr>
            <w:tcW w:w="672" w:type="dxa"/>
            <w:vMerge w:val="restart"/>
            <w:tcBorders>
              <w:top w:val="nil"/>
              <w:left w:val="nil"/>
              <w:bottom w:val="single" w:sz="8" w:space="0" w:color="000000"/>
              <w:right w:val="single" w:sz="4" w:space="0" w:color="auto"/>
            </w:tcBorders>
            <w:shd w:val="clear" w:color="000000" w:fill="DCE6F1"/>
            <w:noWrap/>
            <w:vAlign w:val="center"/>
            <w:hideMark/>
          </w:tcPr>
          <w:p w14:paraId="2396D877"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0.273</w:t>
            </w:r>
          </w:p>
        </w:tc>
        <w:tc>
          <w:tcPr>
            <w:tcW w:w="839" w:type="dxa"/>
            <w:tcBorders>
              <w:top w:val="nil"/>
              <w:left w:val="nil"/>
              <w:bottom w:val="nil"/>
              <w:right w:val="nil"/>
            </w:tcBorders>
            <w:shd w:val="clear" w:color="000000" w:fill="DCE6F1"/>
            <w:noWrap/>
            <w:vAlign w:val="center"/>
            <w:hideMark/>
          </w:tcPr>
          <w:p w14:paraId="6CFB0F04"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75</w:t>
            </w:r>
          </w:p>
        </w:tc>
        <w:tc>
          <w:tcPr>
            <w:tcW w:w="1271" w:type="dxa"/>
            <w:tcBorders>
              <w:top w:val="nil"/>
              <w:left w:val="nil"/>
              <w:bottom w:val="nil"/>
              <w:right w:val="nil"/>
            </w:tcBorders>
            <w:shd w:val="clear" w:color="000000" w:fill="DCE6F1"/>
            <w:noWrap/>
            <w:vAlign w:val="center"/>
            <w:hideMark/>
          </w:tcPr>
          <w:p w14:paraId="767BF8B9"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(25‒100)</w:t>
            </w:r>
          </w:p>
        </w:tc>
        <w:tc>
          <w:tcPr>
            <w:tcW w:w="675" w:type="dxa"/>
            <w:vMerge w:val="restart"/>
            <w:tcBorders>
              <w:top w:val="nil"/>
              <w:left w:val="nil"/>
              <w:bottom w:val="single" w:sz="8" w:space="0" w:color="000000"/>
              <w:right w:val="single" w:sz="4" w:space="0" w:color="auto"/>
            </w:tcBorders>
            <w:shd w:val="clear" w:color="000000" w:fill="DCE6F1"/>
            <w:noWrap/>
            <w:vAlign w:val="center"/>
            <w:hideMark/>
          </w:tcPr>
          <w:p w14:paraId="0D01BD2F"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0.842</w:t>
            </w:r>
          </w:p>
        </w:tc>
        <w:tc>
          <w:tcPr>
            <w:tcW w:w="839" w:type="dxa"/>
            <w:tcBorders>
              <w:top w:val="nil"/>
              <w:left w:val="nil"/>
              <w:bottom w:val="nil"/>
              <w:right w:val="nil"/>
            </w:tcBorders>
            <w:shd w:val="clear" w:color="000000" w:fill="DCE6F1"/>
            <w:noWrap/>
            <w:vAlign w:val="center"/>
            <w:hideMark/>
          </w:tcPr>
          <w:p w14:paraId="16C35DD0"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50</w:t>
            </w:r>
          </w:p>
        </w:tc>
        <w:tc>
          <w:tcPr>
            <w:tcW w:w="1271" w:type="dxa"/>
            <w:tcBorders>
              <w:top w:val="nil"/>
              <w:left w:val="nil"/>
              <w:bottom w:val="nil"/>
              <w:right w:val="nil"/>
            </w:tcBorders>
            <w:shd w:val="clear" w:color="000000" w:fill="DCE6F1"/>
            <w:noWrap/>
            <w:vAlign w:val="center"/>
            <w:hideMark/>
          </w:tcPr>
          <w:p w14:paraId="5FF2AEB5"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(18.8‒87.5)</w:t>
            </w:r>
          </w:p>
        </w:tc>
        <w:tc>
          <w:tcPr>
            <w:tcW w:w="675" w:type="dxa"/>
            <w:vMerge w:val="restart"/>
            <w:tcBorders>
              <w:top w:val="nil"/>
              <w:left w:val="nil"/>
              <w:bottom w:val="single" w:sz="8" w:space="0" w:color="000000"/>
              <w:right w:val="single" w:sz="4" w:space="0" w:color="auto"/>
            </w:tcBorders>
            <w:shd w:val="clear" w:color="000000" w:fill="DCE6F1"/>
            <w:noWrap/>
            <w:vAlign w:val="center"/>
            <w:hideMark/>
          </w:tcPr>
          <w:p w14:paraId="7C252DCB"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0.435</w:t>
            </w:r>
          </w:p>
        </w:tc>
        <w:tc>
          <w:tcPr>
            <w:tcW w:w="839" w:type="dxa"/>
            <w:tcBorders>
              <w:top w:val="nil"/>
              <w:left w:val="nil"/>
              <w:bottom w:val="nil"/>
              <w:right w:val="nil"/>
            </w:tcBorders>
            <w:shd w:val="clear" w:color="000000" w:fill="DCE6F1"/>
            <w:noWrap/>
            <w:vAlign w:val="center"/>
            <w:hideMark/>
          </w:tcPr>
          <w:p w14:paraId="395AAEFF"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87.5</w:t>
            </w:r>
          </w:p>
        </w:tc>
        <w:tc>
          <w:tcPr>
            <w:tcW w:w="1271" w:type="dxa"/>
            <w:tcBorders>
              <w:top w:val="nil"/>
              <w:left w:val="nil"/>
              <w:bottom w:val="nil"/>
              <w:right w:val="nil"/>
            </w:tcBorders>
            <w:shd w:val="clear" w:color="000000" w:fill="DCE6F1"/>
            <w:noWrap/>
            <w:vAlign w:val="center"/>
            <w:hideMark/>
          </w:tcPr>
          <w:p w14:paraId="66F835FD"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(50‒100)</w:t>
            </w:r>
          </w:p>
        </w:tc>
        <w:tc>
          <w:tcPr>
            <w:tcW w:w="675" w:type="dxa"/>
            <w:vMerge w:val="restart"/>
            <w:tcBorders>
              <w:top w:val="nil"/>
              <w:left w:val="nil"/>
              <w:bottom w:val="single" w:sz="8" w:space="0" w:color="000000"/>
              <w:right w:val="single" w:sz="18" w:space="0" w:color="auto"/>
            </w:tcBorders>
            <w:shd w:val="clear" w:color="000000" w:fill="DCE6F1"/>
            <w:noWrap/>
            <w:vAlign w:val="center"/>
            <w:hideMark/>
          </w:tcPr>
          <w:p w14:paraId="5B3C2471"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0.012</w:t>
            </w:r>
          </w:p>
        </w:tc>
      </w:tr>
      <w:tr w:rsidR="00ED1DBF" w:rsidRPr="00070D56" w14:paraId="0E9D6368" w14:textId="77777777" w:rsidTr="00D30DFD">
        <w:trPr>
          <w:trHeight w:val="79"/>
        </w:trPr>
        <w:tc>
          <w:tcPr>
            <w:tcW w:w="1260" w:type="dxa"/>
            <w:vMerge/>
            <w:tcBorders>
              <w:top w:val="nil"/>
              <w:left w:val="single" w:sz="18" w:space="0" w:color="auto"/>
              <w:bottom w:val="single" w:sz="18" w:space="0" w:color="auto"/>
              <w:right w:val="nil"/>
            </w:tcBorders>
            <w:vAlign w:val="center"/>
            <w:hideMark/>
          </w:tcPr>
          <w:p w14:paraId="490EFF60" w14:textId="77777777" w:rsidR="00ED1DBF" w:rsidRPr="001342CE" w:rsidRDefault="00ED1DBF" w:rsidP="00D30DFD">
            <w:pPr>
              <w:spacing w:after="0" w:line="240" w:lineRule="auto"/>
              <w:rPr>
                <w:rFonts w:eastAsia="Times New Roman" w:cs="Times New Roman"/>
                <w:b/>
                <w:bCs/>
                <w:color w:val="000000"/>
                <w:sz w:val="20"/>
                <w:szCs w:val="20"/>
              </w:rPr>
            </w:pPr>
          </w:p>
        </w:tc>
        <w:tc>
          <w:tcPr>
            <w:tcW w:w="360" w:type="dxa"/>
            <w:tcBorders>
              <w:top w:val="nil"/>
              <w:left w:val="nil"/>
              <w:bottom w:val="single" w:sz="18" w:space="0" w:color="auto"/>
              <w:right w:val="single" w:sz="4" w:space="0" w:color="auto"/>
            </w:tcBorders>
            <w:shd w:val="clear" w:color="000000" w:fill="DCE6F1"/>
            <w:noWrap/>
            <w:vAlign w:val="center"/>
            <w:hideMark/>
          </w:tcPr>
          <w:p w14:paraId="5F67D91E"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S</w:t>
            </w:r>
          </w:p>
        </w:tc>
        <w:tc>
          <w:tcPr>
            <w:tcW w:w="838" w:type="dxa"/>
            <w:tcBorders>
              <w:top w:val="nil"/>
              <w:left w:val="nil"/>
              <w:bottom w:val="single" w:sz="18" w:space="0" w:color="auto"/>
              <w:right w:val="nil"/>
            </w:tcBorders>
            <w:shd w:val="clear" w:color="000000" w:fill="DCE6F1"/>
            <w:noWrap/>
            <w:vAlign w:val="center"/>
            <w:hideMark/>
          </w:tcPr>
          <w:p w14:paraId="2E014C89"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w:t>
            </w:r>
          </w:p>
        </w:tc>
        <w:tc>
          <w:tcPr>
            <w:tcW w:w="1271" w:type="dxa"/>
            <w:tcBorders>
              <w:top w:val="nil"/>
              <w:left w:val="nil"/>
              <w:bottom w:val="single" w:sz="18" w:space="0" w:color="auto"/>
              <w:right w:val="nil"/>
            </w:tcBorders>
            <w:shd w:val="clear" w:color="000000" w:fill="DCE6F1"/>
            <w:noWrap/>
            <w:vAlign w:val="center"/>
            <w:hideMark/>
          </w:tcPr>
          <w:p w14:paraId="02E1E82F"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(100‒100)</w:t>
            </w:r>
          </w:p>
        </w:tc>
        <w:tc>
          <w:tcPr>
            <w:tcW w:w="672" w:type="dxa"/>
            <w:vMerge/>
            <w:tcBorders>
              <w:top w:val="nil"/>
              <w:left w:val="nil"/>
              <w:bottom w:val="single" w:sz="18" w:space="0" w:color="auto"/>
              <w:right w:val="single" w:sz="4" w:space="0" w:color="auto"/>
            </w:tcBorders>
            <w:vAlign w:val="center"/>
            <w:hideMark/>
          </w:tcPr>
          <w:p w14:paraId="2F950055" w14:textId="77777777" w:rsidR="00ED1DBF" w:rsidRPr="001342CE" w:rsidRDefault="00ED1DBF" w:rsidP="00D30DFD">
            <w:pPr>
              <w:spacing w:after="0" w:line="240" w:lineRule="auto"/>
              <w:rPr>
                <w:rFonts w:eastAsia="Times New Roman" w:cs="Times New Roman"/>
                <w:color w:val="000000"/>
                <w:sz w:val="20"/>
                <w:szCs w:val="20"/>
              </w:rPr>
            </w:pPr>
          </w:p>
        </w:tc>
        <w:tc>
          <w:tcPr>
            <w:tcW w:w="839" w:type="dxa"/>
            <w:tcBorders>
              <w:top w:val="nil"/>
              <w:left w:val="nil"/>
              <w:bottom w:val="single" w:sz="18" w:space="0" w:color="auto"/>
              <w:right w:val="nil"/>
            </w:tcBorders>
            <w:shd w:val="clear" w:color="000000" w:fill="DCE6F1"/>
            <w:noWrap/>
            <w:vAlign w:val="center"/>
            <w:hideMark/>
          </w:tcPr>
          <w:p w14:paraId="023A8BA3"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75</w:t>
            </w:r>
          </w:p>
        </w:tc>
        <w:tc>
          <w:tcPr>
            <w:tcW w:w="1271" w:type="dxa"/>
            <w:tcBorders>
              <w:top w:val="nil"/>
              <w:left w:val="nil"/>
              <w:bottom w:val="single" w:sz="18" w:space="0" w:color="auto"/>
              <w:right w:val="nil"/>
            </w:tcBorders>
            <w:shd w:val="clear" w:color="000000" w:fill="DCE6F1"/>
            <w:noWrap/>
            <w:vAlign w:val="center"/>
            <w:hideMark/>
          </w:tcPr>
          <w:p w14:paraId="1B0B8CA9"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(37.5‒100)</w:t>
            </w:r>
          </w:p>
        </w:tc>
        <w:tc>
          <w:tcPr>
            <w:tcW w:w="675" w:type="dxa"/>
            <w:vMerge/>
            <w:tcBorders>
              <w:top w:val="nil"/>
              <w:left w:val="nil"/>
              <w:bottom w:val="single" w:sz="18" w:space="0" w:color="auto"/>
              <w:right w:val="single" w:sz="4" w:space="0" w:color="auto"/>
            </w:tcBorders>
            <w:vAlign w:val="center"/>
            <w:hideMark/>
          </w:tcPr>
          <w:p w14:paraId="251FFBD3" w14:textId="77777777" w:rsidR="00ED1DBF" w:rsidRPr="001342CE" w:rsidRDefault="00ED1DBF" w:rsidP="00D30DFD">
            <w:pPr>
              <w:spacing w:after="0" w:line="240" w:lineRule="auto"/>
              <w:rPr>
                <w:rFonts w:eastAsia="Times New Roman" w:cs="Times New Roman"/>
                <w:color w:val="000000"/>
                <w:sz w:val="20"/>
                <w:szCs w:val="20"/>
              </w:rPr>
            </w:pPr>
          </w:p>
        </w:tc>
        <w:tc>
          <w:tcPr>
            <w:tcW w:w="839" w:type="dxa"/>
            <w:tcBorders>
              <w:top w:val="nil"/>
              <w:left w:val="nil"/>
              <w:bottom w:val="single" w:sz="18" w:space="0" w:color="auto"/>
              <w:right w:val="nil"/>
            </w:tcBorders>
            <w:shd w:val="clear" w:color="000000" w:fill="DCE6F1"/>
            <w:noWrap/>
            <w:vAlign w:val="center"/>
            <w:hideMark/>
          </w:tcPr>
          <w:p w14:paraId="570CA29F"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75</w:t>
            </w:r>
          </w:p>
        </w:tc>
        <w:tc>
          <w:tcPr>
            <w:tcW w:w="1271" w:type="dxa"/>
            <w:tcBorders>
              <w:top w:val="nil"/>
              <w:left w:val="nil"/>
              <w:bottom w:val="single" w:sz="18" w:space="0" w:color="auto"/>
              <w:right w:val="nil"/>
            </w:tcBorders>
            <w:shd w:val="clear" w:color="000000" w:fill="DCE6F1"/>
            <w:noWrap/>
            <w:vAlign w:val="center"/>
            <w:hideMark/>
          </w:tcPr>
          <w:p w14:paraId="1AC786DB"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(28.8‒100)</w:t>
            </w:r>
          </w:p>
        </w:tc>
        <w:tc>
          <w:tcPr>
            <w:tcW w:w="675" w:type="dxa"/>
            <w:vMerge/>
            <w:tcBorders>
              <w:top w:val="nil"/>
              <w:left w:val="nil"/>
              <w:bottom w:val="single" w:sz="18" w:space="0" w:color="auto"/>
              <w:right w:val="single" w:sz="4" w:space="0" w:color="auto"/>
            </w:tcBorders>
            <w:vAlign w:val="center"/>
            <w:hideMark/>
          </w:tcPr>
          <w:p w14:paraId="738D31E8" w14:textId="77777777" w:rsidR="00ED1DBF" w:rsidRPr="001342CE" w:rsidRDefault="00ED1DBF" w:rsidP="00D30DFD">
            <w:pPr>
              <w:spacing w:after="0" w:line="240" w:lineRule="auto"/>
              <w:rPr>
                <w:rFonts w:eastAsia="Times New Roman" w:cs="Times New Roman"/>
                <w:color w:val="000000"/>
                <w:sz w:val="20"/>
                <w:szCs w:val="20"/>
              </w:rPr>
            </w:pPr>
          </w:p>
        </w:tc>
        <w:tc>
          <w:tcPr>
            <w:tcW w:w="839" w:type="dxa"/>
            <w:tcBorders>
              <w:top w:val="nil"/>
              <w:left w:val="nil"/>
              <w:bottom w:val="single" w:sz="18" w:space="0" w:color="auto"/>
              <w:right w:val="nil"/>
            </w:tcBorders>
            <w:shd w:val="clear" w:color="000000" w:fill="DCE6F1"/>
            <w:noWrap/>
            <w:vAlign w:val="center"/>
            <w:hideMark/>
          </w:tcPr>
          <w:p w14:paraId="0AC093E3"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100</w:t>
            </w:r>
          </w:p>
        </w:tc>
        <w:tc>
          <w:tcPr>
            <w:tcW w:w="1271" w:type="dxa"/>
            <w:tcBorders>
              <w:top w:val="nil"/>
              <w:left w:val="nil"/>
              <w:bottom w:val="single" w:sz="18" w:space="0" w:color="auto"/>
              <w:right w:val="nil"/>
            </w:tcBorders>
            <w:shd w:val="clear" w:color="000000" w:fill="DCE6F1"/>
            <w:noWrap/>
            <w:vAlign w:val="center"/>
            <w:hideMark/>
          </w:tcPr>
          <w:p w14:paraId="18F60FA8"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(87.5‒100)</w:t>
            </w:r>
          </w:p>
        </w:tc>
        <w:tc>
          <w:tcPr>
            <w:tcW w:w="675" w:type="dxa"/>
            <w:vMerge/>
            <w:tcBorders>
              <w:top w:val="nil"/>
              <w:left w:val="nil"/>
              <w:bottom w:val="single" w:sz="18" w:space="0" w:color="auto"/>
              <w:right w:val="single" w:sz="18" w:space="0" w:color="auto"/>
            </w:tcBorders>
            <w:vAlign w:val="center"/>
            <w:hideMark/>
          </w:tcPr>
          <w:p w14:paraId="32C36F9B" w14:textId="77777777" w:rsidR="00ED1DBF" w:rsidRPr="001342CE" w:rsidRDefault="00ED1DBF" w:rsidP="00D30DFD">
            <w:pPr>
              <w:spacing w:after="0" w:line="240" w:lineRule="auto"/>
              <w:rPr>
                <w:rFonts w:eastAsia="Times New Roman" w:cs="Times New Roman"/>
                <w:b/>
                <w:bCs/>
                <w:color w:val="000000"/>
                <w:sz w:val="20"/>
                <w:szCs w:val="20"/>
              </w:rPr>
            </w:pPr>
          </w:p>
        </w:tc>
      </w:tr>
      <w:tr w:rsidR="00ED1DBF" w:rsidRPr="00070D56" w14:paraId="2E2AE92E" w14:textId="77777777" w:rsidTr="00D30DFD">
        <w:trPr>
          <w:trHeight w:val="300"/>
        </w:trPr>
        <w:tc>
          <w:tcPr>
            <w:tcW w:w="12756" w:type="dxa"/>
            <w:gridSpan w:val="14"/>
            <w:tcBorders>
              <w:top w:val="nil"/>
              <w:left w:val="nil"/>
              <w:bottom w:val="nil"/>
              <w:right w:val="nil"/>
            </w:tcBorders>
            <w:shd w:val="clear" w:color="auto" w:fill="auto"/>
            <w:noWrap/>
            <w:vAlign w:val="bottom"/>
            <w:hideMark/>
          </w:tcPr>
          <w:p w14:paraId="46FB34F1" w14:textId="77777777" w:rsidR="00ED1DBF" w:rsidRPr="001342CE" w:rsidRDefault="00ED1DBF" w:rsidP="00D30DFD">
            <w:pPr>
              <w:spacing w:after="0" w:line="240" w:lineRule="auto"/>
              <w:rPr>
                <w:rFonts w:eastAsia="Times New Roman" w:cs="Times New Roman"/>
                <w:i/>
                <w:iCs/>
                <w:color w:val="000000"/>
                <w:sz w:val="20"/>
                <w:szCs w:val="20"/>
              </w:rPr>
            </w:pPr>
            <w:r w:rsidRPr="001342CE">
              <w:rPr>
                <w:rFonts w:eastAsia="Times New Roman" w:cs="Times New Roman"/>
                <w:i/>
                <w:iCs/>
                <w:color w:val="000000"/>
                <w:sz w:val="20"/>
                <w:szCs w:val="20"/>
              </w:rPr>
              <w:t xml:space="preserve">IQR: Interquartile range (Q1-Q3)   </w:t>
            </w:r>
            <w:r>
              <w:rPr>
                <w:rFonts w:eastAsia="Times New Roman" w:cs="Times New Roman"/>
                <w:i/>
                <w:iCs/>
                <w:color w:val="000000"/>
                <w:sz w:val="20"/>
                <w:szCs w:val="20"/>
              </w:rPr>
              <w:t xml:space="preserve"> C:Control arm    S:Steroid arm</w:t>
            </w:r>
          </w:p>
        </w:tc>
      </w:tr>
    </w:tbl>
    <w:p w14:paraId="3F404534" w14:textId="77777777" w:rsidR="00ED1DBF" w:rsidRDefault="00ED1DBF" w:rsidP="00ED1DBF"/>
    <w:tbl>
      <w:tblPr>
        <w:tblW w:w="10241" w:type="dxa"/>
        <w:tblInd w:w="93" w:type="dxa"/>
        <w:tblLook w:val="04A0" w:firstRow="1" w:lastRow="0" w:firstColumn="1" w:lastColumn="0" w:noHBand="0" w:noVBand="1"/>
      </w:tblPr>
      <w:tblGrid>
        <w:gridCol w:w="1185"/>
        <w:gridCol w:w="318"/>
        <w:gridCol w:w="43"/>
        <w:gridCol w:w="318"/>
        <w:gridCol w:w="530"/>
        <w:gridCol w:w="318"/>
        <w:gridCol w:w="1000"/>
        <w:gridCol w:w="318"/>
        <w:gridCol w:w="357"/>
        <w:gridCol w:w="318"/>
        <w:gridCol w:w="530"/>
        <w:gridCol w:w="318"/>
        <w:gridCol w:w="1089"/>
        <w:gridCol w:w="318"/>
        <w:gridCol w:w="409"/>
        <w:gridCol w:w="318"/>
        <w:gridCol w:w="530"/>
        <w:gridCol w:w="318"/>
        <w:gridCol w:w="713"/>
        <w:gridCol w:w="318"/>
        <w:gridCol w:w="357"/>
        <w:gridCol w:w="318"/>
      </w:tblGrid>
      <w:tr w:rsidR="00ED1DBF" w:rsidRPr="00AE055C" w14:paraId="1AAF49DD" w14:textId="77777777" w:rsidTr="00915145">
        <w:trPr>
          <w:gridAfter w:val="1"/>
          <w:wAfter w:w="318" w:type="dxa"/>
          <w:trHeight w:val="300"/>
        </w:trPr>
        <w:tc>
          <w:tcPr>
            <w:tcW w:w="9923" w:type="dxa"/>
            <w:gridSpan w:val="21"/>
            <w:tcBorders>
              <w:top w:val="nil"/>
              <w:left w:val="nil"/>
              <w:bottom w:val="single" w:sz="18" w:space="0" w:color="auto"/>
              <w:right w:val="nil"/>
            </w:tcBorders>
            <w:shd w:val="clear" w:color="auto" w:fill="auto"/>
            <w:noWrap/>
            <w:vAlign w:val="bottom"/>
            <w:hideMark/>
          </w:tcPr>
          <w:p w14:paraId="1FABBE46" w14:textId="1B844222" w:rsidR="00ED1DBF" w:rsidRPr="001342CE" w:rsidRDefault="00ED1DBF" w:rsidP="00D30DFD">
            <w:pPr>
              <w:spacing w:after="0" w:line="240" w:lineRule="auto"/>
              <w:rPr>
                <w:rFonts w:eastAsia="Times New Roman" w:cs="Times New Roman"/>
                <w:b/>
                <w:bCs/>
                <w:color w:val="000000"/>
                <w:sz w:val="20"/>
                <w:szCs w:val="20"/>
              </w:rPr>
            </w:pPr>
            <w:r w:rsidRPr="001342CE">
              <w:rPr>
                <w:rFonts w:eastAsia="Times New Roman" w:cs="Times New Roman"/>
                <w:b/>
                <w:bCs/>
                <w:color w:val="000000"/>
                <w:sz w:val="20"/>
                <w:szCs w:val="20"/>
              </w:rPr>
              <w:t xml:space="preserve">Table </w:t>
            </w:r>
            <w:r>
              <w:rPr>
                <w:rFonts w:eastAsia="Times New Roman" w:cs="Times New Roman"/>
                <w:b/>
                <w:bCs/>
                <w:color w:val="000000"/>
                <w:sz w:val="20"/>
                <w:szCs w:val="20"/>
              </w:rPr>
              <w:t>4</w:t>
            </w:r>
            <w:r w:rsidRPr="001342CE">
              <w:rPr>
                <w:rFonts w:eastAsia="Times New Roman" w:cs="Times New Roman"/>
                <w:b/>
                <w:bCs/>
                <w:color w:val="000000"/>
                <w:sz w:val="20"/>
                <w:szCs w:val="20"/>
              </w:rPr>
              <w:t xml:space="preserve">: </w:t>
            </w:r>
            <w:r>
              <w:rPr>
                <w:rFonts w:eastAsia="Times New Roman" w:cs="Times New Roman"/>
                <w:b/>
                <w:bCs/>
                <w:color w:val="000000"/>
                <w:sz w:val="20"/>
                <w:szCs w:val="20"/>
              </w:rPr>
              <w:t>Comparison of the change in SWAL-QOL scores from</w:t>
            </w:r>
            <w:r w:rsidR="00C651CA">
              <w:rPr>
                <w:rFonts w:eastAsia="Times New Roman" w:cs="Times New Roman"/>
                <w:b/>
                <w:bCs/>
                <w:color w:val="000000"/>
                <w:sz w:val="20"/>
                <w:szCs w:val="20"/>
              </w:rPr>
              <w:t xml:space="preserve"> the</w:t>
            </w:r>
            <w:r>
              <w:rPr>
                <w:rFonts w:eastAsia="Times New Roman" w:cs="Times New Roman"/>
                <w:b/>
                <w:bCs/>
                <w:color w:val="000000"/>
                <w:sz w:val="20"/>
                <w:szCs w:val="20"/>
              </w:rPr>
              <w:t xml:space="preserve"> baseline (i.e. pre-op)</w:t>
            </w:r>
            <w:r w:rsidRPr="001342CE">
              <w:rPr>
                <w:rFonts w:eastAsia="Times New Roman" w:cs="Times New Roman"/>
                <w:b/>
                <w:bCs/>
                <w:color w:val="000000"/>
                <w:sz w:val="20"/>
                <w:szCs w:val="20"/>
              </w:rPr>
              <w:t xml:space="preserve"> </w:t>
            </w:r>
          </w:p>
        </w:tc>
      </w:tr>
      <w:tr w:rsidR="00ED1DBF" w:rsidRPr="00AE055C" w14:paraId="2D95CBFB" w14:textId="77777777" w:rsidTr="00915145">
        <w:trPr>
          <w:gridAfter w:val="1"/>
          <w:wAfter w:w="318" w:type="dxa"/>
          <w:trHeight w:val="300"/>
        </w:trPr>
        <w:tc>
          <w:tcPr>
            <w:tcW w:w="1185" w:type="dxa"/>
            <w:vMerge w:val="restart"/>
            <w:tcBorders>
              <w:top w:val="single" w:sz="18" w:space="0" w:color="auto"/>
              <w:left w:val="single" w:sz="18" w:space="0" w:color="auto"/>
              <w:bottom w:val="single" w:sz="4" w:space="0" w:color="000000"/>
              <w:right w:val="nil"/>
            </w:tcBorders>
            <w:shd w:val="clear" w:color="auto" w:fill="auto"/>
            <w:vAlign w:val="center"/>
            <w:hideMark/>
          </w:tcPr>
          <w:p w14:paraId="51B1733C" w14:textId="77777777" w:rsidR="00ED1DBF" w:rsidRPr="001342CE" w:rsidRDefault="00ED1DBF" w:rsidP="00D30DFD">
            <w:pPr>
              <w:spacing w:after="0" w:line="240" w:lineRule="auto"/>
              <w:jc w:val="center"/>
              <w:rPr>
                <w:rFonts w:eastAsia="Times New Roman" w:cs="Times New Roman"/>
                <w:b/>
                <w:bCs/>
                <w:color w:val="000000"/>
                <w:sz w:val="20"/>
                <w:szCs w:val="20"/>
              </w:rPr>
            </w:pPr>
          </w:p>
        </w:tc>
        <w:tc>
          <w:tcPr>
            <w:tcW w:w="361" w:type="dxa"/>
            <w:gridSpan w:val="2"/>
            <w:vMerge w:val="restart"/>
            <w:tcBorders>
              <w:top w:val="single" w:sz="18" w:space="0" w:color="auto"/>
              <w:left w:val="nil"/>
              <w:bottom w:val="single" w:sz="4" w:space="0" w:color="000000"/>
              <w:right w:val="nil"/>
            </w:tcBorders>
            <w:shd w:val="clear" w:color="auto" w:fill="auto"/>
            <w:noWrap/>
            <w:vAlign w:val="center"/>
            <w:hideMark/>
          </w:tcPr>
          <w:p w14:paraId="1F9E975F"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 </w:t>
            </w:r>
          </w:p>
        </w:tc>
        <w:tc>
          <w:tcPr>
            <w:tcW w:w="2841" w:type="dxa"/>
            <w:gridSpan w:val="6"/>
            <w:tcBorders>
              <w:top w:val="single" w:sz="18" w:space="0" w:color="auto"/>
              <w:left w:val="single" w:sz="4" w:space="0" w:color="auto"/>
              <w:bottom w:val="nil"/>
              <w:right w:val="single" w:sz="4" w:space="0" w:color="000000"/>
            </w:tcBorders>
            <w:shd w:val="clear" w:color="auto" w:fill="auto"/>
            <w:noWrap/>
            <w:vAlign w:val="center"/>
            <w:hideMark/>
          </w:tcPr>
          <w:p w14:paraId="2221D16F"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b/>
                <w:bCs/>
                <w:color w:val="000000"/>
                <w:sz w:val="20"/>
                <w:szCs w:val="20"/>
              </w:rPr>
              <w:t xml:space="preserve">POD1 </w:t>
            </w:r>
            <w:r w:rsidRPr="001342CE">
              <w:rPr>
                <w:rFonts w:eastAsia="Times New Roman" w:cs="Times New Roman"/>
                <w:color w:val="000000"/>
                <w:sz w:val="20"/>
                <w:szCs w:val="20"/>
              </w:rPr>
              <w:t>( C N=28, S N=28)</w:t>
            </w:r>
          </w:p>
        </w:tc>
        <w:tc>
          <w:tcPr>
            <w:tcW w:w="2982" w:type="dxa"/>
            <w:gridSpan w:val="6"/>
            <w:tcBorders>
              <w:top w:val="single" w:sz="18" w:space="0" w:color="auto"/>
              <w:left w:val="nil"/>
              <w:bottom w:val="nil"/>
              <w:right w:val="single" w:sz="4" w:space="0" w:color="000000"/>
            </w:tcBorders>
            <w:shd w:val="clear" w:color="auto" w:fill="auto"/>
            <w:noWrap/>
            <w:vAlign w:val="center"/>
            <w:hideMark/>
          </w:tcPr>
          <w:p w14:paraId="066C5277"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b/>
                <w:bCs/>
                <w:color w:val="000000"/>
                <w:sz w:val="20"/>
                <w:szCs w:val="20"/>
              </w:rPr>
              <w:t>POD2</w:t>
            </w:r>
            <w:r w:rsidRPr="001342CE">
              <w:rPr>
                <w:rFonts w:eastAsia="Times New Roman" w:cs="Times New Roman"/>
                <w:color w:val="000000"/>
                <w:sz w:val="20"/>
                <w:szCs w:val="20"/>
              </w:rPr>
              <w:t xml:space="preserve"> (C N=25, S N=24)</w:t>
            </w:r>
          </w:p>
        </w:tc>
        <w:tc>
          <w:tcPr>
            <w:tcW w:w="2554" w:type="dxa"/>
            <w:gridSpan w:val="6"/>
            <w:tcBorders>
              <w:top w:val="single" w:sz="18" w:space="0" w:color="auto"/>
              <w:left w:val="nil"/>
              <w:bottom w:val="nil"/>
              <w:right w:val="single" w:sz="18" w:space="0" w:color="auto"/>
            </w:tcBorders>
            <w:shd w:val="clear" w:color="auto" w:fill="auto"/>
            <w:noWrap/>
            <w:vAlign w:val="center"/>
            <w:hideMark/>
          </w:tcPr>
          <w:p w14:paraId="04A4491F"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b/>
                <w:bCs/>
                <w:color w:val="000000"/>
                <w:sz w:val="20"/>
                <w:szCs w:val="20"/>
              </w:rPr>
              <w:t>M1</w:t>
            </w:r>
            <w:r w:rsidRPr="001342CE">
              <w:rPr>
                <w:rFonts w:eastAsia="Times New Roman" w:cs="Times New Roman"/>
                <w:color w:val="000000"/>
                <w:sz w:val="20"/>
                <w:szCs w:val="20"/>
              </w:rPr>
              <w:t xml:space="preserve"> (C N=27, S N=28)</w:t>
            </w:r>
          </w:p>
        </w:tc>
      </w:tr>
      <w:tr w:rsidR="00ED1DBF" w:rsidRPr="00AE055C" w14:paraId="63D0AE00" w14:textId="77777777" w:rsidTr="00915145">
        <w:trPr>
          <w:gridAfter w:val="1"/>
          <w:wAfter w:w="318" w:type="dxa"/>
          <w:trHeight w:val="300"/>
        </w:trPr>
        <w:tc>
          <w:tcPr>
            <w:tcW w:w="1185" w:type="dxa"/>
            <w:vMerge/>
            <w:tcBorders>
              <w:top w:val="single" w:sz="4" w:space="0" w:color="auto"/>
              <w:left w:val="single" w:sz="18" w:space="0" w:color="auto"/>
              <w:bottom w:val="single" w:sz="18" w:space="0" w:color="auto"/>
              <w:right w:val="nil"/>
            </w:tcBorders>
            <w:vAlign w:val="center"/>
            <w:hideMark/>
          </w:tcPr>
          <w:p w14:paraId="66BF2BFB" w14:textId="77777777" w:rsidR="00ED1DBF" w:rsidRPr="001342CE" w:rsidRDefault="00ED1DBF" w:rsidP="00D30DFD">
            <w:pPr>
              <w:spacing w:after="0" w:line="240" w:lineRule="auto"/>
              <w:rPr>
                <w:rFonts w:eastAsia="Times New Roman" w:cs="Times New Roman"/>
                <w:b/>
                <w:bCs/>
                <w:color w:val="000000"/>
                <w:sz w:val="20"/>
                <w:szCs w:val="20"/>
              </w:rPr>
            </w:pPr>
          </w:p>
        </w:tc>
        <w:tc>
          <w:tcPr>
            <w:tcW w:w="361" w:type="dxa"/>
            <w:gridSpan w:val="2"/>
            <w:vMerge/>
            <w:tcBorders>
              <w:top w:val="single" w:sz="4" w:space="0" w:color="auto"/>
              <w:left w:val="nil"/>
              <w:bottom w:val="single" w:sz="18" w:space="0" w:color="auto"/>
              <w:right w:val="nil"/>
            </w:tcBorders>
            <w:vAlign w:val="center"/>
            <w:hideMark/>
          </w:tcPr>
          <w:p w14:paraId="4F07272E" w14:textId="77777777" w:rsidR="00ED1DBF" w:rsidRPr="001342CE" w:rsidRDefault="00ED1DBF" w:rsidP="00D30DFD">
            <w:pPr>
              <w:spacing w:after="0" w:line="240" w:lineRule="auto"/>
              <w:rPr>
                <w:rFonts w:eastAsia="Times New Roman" w:cs="Times New Roman"/>
                <w:b/>
                <w:bCs/>
                <w:color w:val="000000"/>
                <w:sz w:val="20"/>
                <w:szCs w:val="20"/>
              </w:rPr>
            </w:pPr>
          </w:p>
        </w:tc>
        <w:tc>
          <w:tcPr>
            <w:tcW w:w="848" w:type="dxa"/>
            <w:gridSpan w:val="2"/>
            <w:tcBorders>
              <w:top w:val="nil"/>
              <w:left w:val="single" w:sz="4" w:space="0" w:color="auto"/>
              <w:bottom w:val="single" w:sz="18" w:space="0" w:color="auto"/>
              <w:right w:val="nil"/>
            </w:tcBorders>
            <w:shd w:val="clear" w:color="auto" w:fill="auto"/>
            <w:noWrap/>
            <w:vAlign w:val="bottom"/>
            <w:hideMark/>
          </w:tcPr>
          <w:p w14:paraId="6076F83C"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 xml:space="preserve">Median </w:t>
            </w:r>
          </w:p>
        </w:tc>
        <w:tc>
          <w:tcPr>
            <w:tcW w:w="1318" w:type="dxa"/>
            <w:gridSpan w:val="2"/>
            <w:tcBorders>
              <w:top w:val="nil"/>
              <w:left w:val="nil"/>
              <w:bottom w:val="single" w:sz="18" w:space="0" w:color="auto"/>
              <w:right w:val="nil"/>
            </w:tcBorders>
            <w:shd w:val="clear" w:color="auto" w:fill="auto"/>
            <w:noWrap/>
            <w:vAlign w:val="bottom"/>
            <w:hideMark/>
          </w:tcPr>
          <w:p w14:paraId="4F1DFE8C"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IQR</w:t>
            </w:r>
          </w:p>
        </w:tc>
        <w:tc>
          <w:tcPr>
            <w:tcW w:w="675" w:type="dxa"/>
            <w:gridSpan w:val="2"/>
            <w:tcBorders>
              <w:top w:val="nil"/>
              <w:left w:val="nil"/>
              <w:bottom w:val="single" w:sz="18" w:space="0" w:color="auto"/>
              <w:right w:val="single" w:sz="4" w:space="0" w:color="auto"/>
            </w:tcBorders>
            <w:shd w:val="clear" w:color="auto" w:fill="auto"/>
            <w:noWrap/>
            <w:vAlign w:val="bottom"/>
            <w:hideMark/>
          </w:tcPr>
          <w:p w14:paraId="4CBB1826"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P</w:t>
            </w:r>
          </w:p>
        </w:tc>
        <w:tc>
          <w:tcPr>
            <w:tcW w:w="848" w:type="dxa"/>
            <w:gridSpan w:val="2"/>
            <w:tcBorders>
              <w:top w:val="nil"/>
              <w:left w:val="nil"/>
              <w:bottom w:val="single" w:sz="18" w:space="0" w:color="auto"/>
              <w:right w:val="nil"/>
            </w:tcBorders>
            <w:shd w:val="clear" w:color="auto" w:fill="auto"/>
            <w:noWrap/>
            <w:vAlign w:val="bottom"/>
            <w:hideMark/>
          </w:tcPr>
          <w:p w14:paraId="409A5B19"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 xml:space="preserve">Median </w:t>
            </w:r>
          </w:p>
        </w:tc>
        <w:tc>
          <w:tcPr>
            <w:tcW w:w="1407" w:type="dxa"/>
            <w:gridSpan w:val="2"/>
            <w:tcBorders>
              <w:top w:val="nil"/>
              <w:left w:val="nil"/>
              <w:bottom w:val="single" w:sz="18" w:space="0" w:color="auto"/>
              <w:right w:val="nil"/>
            </w:tcBorders>
            <w:shd w:val="clear" w:color="auto" w:fill="auto"/>
            <w:noWrap/>
            <w:vAlign w:val="bottom"/>
            <w:hideMark/>
          </w:tcPr>
          <w:p w14:paraId="7CA59A22"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IQR</w:t>
            </w:r>
          </w:p>
        </w:tc>
        <w:tc>
          <w:tcPr>
            <w:tcW w:w="727" w:type="dxa"/>
            <w:gridSpan w:val="2"/>
            <w:tcBorders>
              <w:top w:val="nil"/>
              <w:left w:val="nil"/>
              <w:bottom w:val="single" w:sz="18" w:space="0" w:color="auto"/>
              <w:right w:val="single" w:sz="4" w:space="0" w:color="auto"/>
            </w:tcBorders>
            <w:shd w:val="clear" w:color="auto" w:fill="auto"/>
            <w:noWrap/>
            <w:vAlign w:val="bottom"/>
            <w:hideMark/>
          </w:tcPr>
          <w:p w14:paraId="7816F233"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P</w:t>
            </w:r>
          </w:p>
        </w:tc>
        <w:tc>
          <w:tcPr>
            <w:tcW w:w="848" w:type="dxa"/>
            <w:gridSpan w:val="2"/>
            <w:tcBorders>
              <w:top w:val="nil"/>
              <w:left w:val="nil"/>
              <w:bottom w:val="single" w:sz="18" w:space="0" w:color="auto"/>
              <w:right w:val="nil"/>
            </w:tcBorders>
            <w:shd w:val="clear" w:color="auto" w:fill="auto"/>
            <w:noWrap/>
            <w:vAlign w:val="bottom"/>
            <w:hideMark/>
          </w:tcPr>
          <w:p w14:paraId="23568571"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 xml:space="preserve">Median </w:t>
            </w:r>
          </w:p>
        </w:tc>
        <w:tc>
          <w:tcPr>
            <w:tcW w:w="1031" w:type="dxa"/>
            <w:gridSpan w:val="2"/>
            <w:tcBorders>
              <w:top w:val="nil"/>
              <w:left w:val="nil"/>
              <w:bottom w:val="single" w:sz="18" w:space="0" w:color="auto"/>
              <w:right w:val="nil"/>
            </w:tcBorders>
            <w:shd w:val="clear" w:color="auto" w:fill="auto"/>
            <w:noWrap/>
            <w:vAlign w:val="bottom"/>
            <w:hideMark/>
          </w:tcPr>
          <w:p w14:paraId="4949FDB7"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IQR</w:t>
            </w:r>
          </w:p>
        </w:tc>
        <w:tc>
          <w:tcPr>
            <w:tcW w:w="675" w:type="dxa"/>
            <w:gridSpan w:val="2"/>
            <w:tcBorders>
              <w:top w:val="nil"/>
              <w:left w:val="nil"/>
              <w:bottom w:val="single" w:sz="18" w:space="0" w:color="auto"/>
              <w:right w:val="single" w:sz="18" w:space="0" w:color="auto"/>
            </w:tcBorders>
            <w:shd w:val="clear" w:color="auto" w:fill="auto"/>
            <w:noWrap/>
            <w:vAlign w:val="bottom"/>
            <w:hideMark/>
          </w:tcPr>
          <w:p w14:paraId="36974221"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P</w:t>
            </w:r>
          </w:p>
        </w:tc>
      </w:tr>
      <w:tr w:rsidR="00ED1DBF" w:rsidRPr="00AE055C" w14:paraId="69414674" w14:textId="77777777" w:rsidTr="00915145">
        <w:trPr>
          <w:gridAfter w:val="1"/>
          <w:wAfter w:w="318" w:type="dxa"/>
          <w:trHeight w:val="300"/>
        </w:trPr>
        <w:tc>
          <w:tcPr>
            <w:tcW w:w="1185" w:type="dxa"/>
            <w:vMerge w:val="restart"/>
            <w:tcBorders>
              <w:top w:val="single" w:sz="18" w:space="0" w:color="auto"/>
              <w:left w:val="single" w:sz="18" w:space="0" w:color="auto"/>
              <w:bottom w:val="single" w:sz="4" w:space="0" w:color="000000"/>
              <w:right w:val="nil"/>
            </w:tcBorders>
            <w:shd w:val="clear" w:color="000000" w:fill="DCE6F1"/>
            <w:vAlign w:val="center"/>
            <w:hideMark/>
          </w:tcPr>
          <w:p w14:paraId="57B010D0"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Burden</w:t>
            </w:r>
          </w:p>
        </w:tc>
        <w:tc>
          <w:tcPr>
            <w:tcW w:w="361" w:type="dxa"/>
            <w:gridSpan w:val="2"/>
            <w:tcBorders>
              <w:top w:val="single" w:sz="18" w:space="0" w:color="auto"/>
              <w:left w:val="nil"/>
              <w:bottom w:val="nil"/>
              <w:right w:val="nil"/>
            </w:tcBorders>
            <w:shd w:val="clear" w:color="000000" w:fill="DCE6F1"/>
            <w:noWrap/>
            <w:vAlign w:val="bottom"/>
            <w:hideMark/>
          </w:tcPr>
          <w:p w14:paraId="1881DB19"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C</w:t>
            </w:r>
          </w:p>
        </w:tc>
        <w:tc>
          <w:tcPr>
            <w:tcW w:w="848" w:type="dxa"/>
            <w:gridSpan w:val="2"/>
            <w:tcBorders>
              <w:top w:val="single" w:sz="18" w:space="0" w:color="auto"/>
              <w:left w:val="single" w:sz="4" w:space="0" w:color="auto"/>
              <w:bottom w:val="nil"/>
              <w:right w:val="nil"/>
            </w:tcBorders>
            <w:shd w:val="clear" w:color="000000" w:fill="DCE6F1"/>
            <w:noWrap/>
            <w:vAlign w:val="center"/>
            <w:hideMark/>
          </w:tcPr>
          <w:p w14:paraId="48BF1843"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-31.3</w:t>
            </w:r>
          </w:p>
        </w:tc>
        <w:tc>
          <w:tcPr>
            <w:tcW w:w="1318" w:type="dxa"/>
            <w:gridSpan w:val="2"/>
            <w:tcBorders>
              <w:top w:val="single" w:sz="18" w:space="0" w:color="auto"/>
              <w:left w:val="nil"/>
              <w:bottom w:val="nil"/>
              <w:right w:val="nil"/>
            </w:tcBorders>
            <w:shd w:val="clear" w:color="000000" w:fill="DCE6F1"/>
            <w:noWrap/>
            <w:vAlign w:val="center"/>
            <w:hideMark/>
          </w:tcPr>
          <w:p w14:paraId="6612956F"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(-75‒-12.5)</w:t>
            </w:r>
          </w:p>
        </w:tc>
        <w:tc>
          <w:tcPr>
            <w:tcW w:w="675" w:type="dxa"/>
            <w:gridSpan w:val="2"/>
            <w:vMerge w:val="restart"/>
            <w:tcBorders>
              <w:top w:val="single" w:sz="18" w:space="0" w:color="auto"/>
              <w:left w:val="nil"/>
              <w:bottom w:val="single" w:sz="4" w:space="0" w:color="000000"/>
              <w:right w:val="single" w:sz="4" w:space="0" w:color="auto"/>
            </w:tcBorders>
            <w:shd w:val="clear" w:color="000000" w:fill="DCE6F1"/>
            <w:noWrap/>
            <w:vAlign w:val="center"/>
            <w:hideMark/>
          </w:tcPr>
          <w:p w14:paraId="71FBAE05"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0.128</w:t>
            </w:r>
          </w:p>
        </w:tc>
        <w:tc>
          <w:tcPr>
            <w:tcW w:w="848" w:type="dxa"/>
            <w:gridSpan w:val="2"/>
            <w:tcBorders>
              <w:top w:val="single" w:sz="18" w:space="0" w:color="auto"/>
              <w:left w:val="nil"/>
              <w:bottom w:val="nil"/>
              <w:right w:val="nil"/>
            </w:tcBorders>
            <w:shd w:val="clear" w:color="000000" w:fill="DCE6F1"/>
            <w:noWrap/>
            <w:vAlign w:val="center"/>
            <w:hideMark/>
          </w:tcPr>
          <w:p w14:paraId="5F4FE8D4"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-37.5</w:t>
            </w:r>
          </w:p>
        </w:tc>
        <w:tc>
          <w:tcPr>
            <w:tcW w:w="1407" w:type="dxa"/>
            <w:gridSpan w:val="2"/>
            <w:tcBorders>
              <w:top w:val="single" w:sz="18" w:space="0" w:color="auto"/>
              <w:left w:val="nil"/>
              <w:bottom w:val="nil"/>
              <w:right w:val="nil"/>
            </w:tcBorders>
            <w:shd w:val="clear" w:color="000000" w:fill="DCE6F1"/>
            <w:noWrap/>
            <w:vAlign w:val="center"/>
            <w:hideMark/>
          </w:tcPr>
          <w:p w14:paraId="17A40654"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(-75‒-12.5)</w:t>
            </w:r>
          </w:p>
        </w:tc>
        <w:tc>
          <w:tcPr>
            <w:tcW w:w="727" w:type="dxa"/>
            <w:gridSpan w:val="2"/>
            <w:vMerge w:val="restart"/>
            <w:tcBorders>
              <w:top w:val="single" w:sz="18" w:space="0" w:color="auto"/>
              <w:left w:val="nil"/>
              <w:bottom w:val="single" w:sz="4" w:space="0" w:color="000000"/>
              <w:right w:val="single" w:sz="4" w:space="0" w:color="auto"/>
            </w:tcBorders>
            <w:shd w:val="clear" w:color="000000" w:fill="DCE6F1"/>
            <w:noWrap/>
            <w:vAlign w:val="center"/>
            <w:hideMark/>
          </w:tcPr>
          <w:p w14:paraId="0A937AEB"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0.049</w:t>
            </w:r>
          </w:p>
        </w:tc>
        <w:tc>
          <w:tcPr>
            <w:tcW w:w="848" w:type="dxa"/>
            <w:gridSpan w:val="2"/>
            <w:tcBorders>
              <w:top w:val="single" w:sz="18" w:space="0" w:color="auto"/>
              <w:left w:val="nil"/>
              <w:bottom w:val="nil"/>
              <w:right w:val="nil"/>
            </w:tcBorders>
            <w:shd w:val="clear" w:color="000000" w:fill="DCE6F1"/>
            <w:noWrap/>
            <w:vAlign w:val="center"/>
            <w:hideMark/>
          </w:tcPr>
          <w:p w14:paraId="56DF37E7"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-12.5</w:t>
            </w:r>
          </w:p>
        </w:tc>
        <w:tc>
          <w:tcPr>
            <w:tcW w:w="1031" w:type="dxa"/>
            <w:gridSpan w:val="2"/>
            <w:tcBorders>
              <w:top w:val="single" w:sz="18" w:space="0" w:color="auto"/>
              <w:left w:val="nil"/>
              <w:bottom w:val="nil"/>
              <w:right w:val="nil"/>
            </w:tcBorders>
            <w:shd w:val="clear" w:color="000000" w:fill="DCE6F1"/>
            <w:noWrap/>
            <w:vAlign w:val="center"/>
            <w:hideMark/>
          </w:tcPr>
          <w:p w14:paraId="4C706B0A"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(-37.5‒0)</w:t>
            </w:r>
          </w:p>
        </w:tc>
        <w:tc>
          <w:tcPr>
            <w:tcW w:w="675" w:type="dxa"/>
            <w:gridSpan w:val="2"/>
            <w:vMerge w:val="restart"/>
            <w:tcBorders>
              <w:top w:val="single" w:sz="18" w:space="0" w:color="auto"/>
              <w:left w:val="nil"/>
              <w:bottom w:val="single" w:sz="4" w:space="0" w:color="000000"/>
              <w:right w:val="single" w:sz="18" w:space="0" w:color="auto"/>
            </w:tcBorders>
            <w:shd w:val="clear" w:color="000000" w:fill="DCE6F1"/>
            <w:noWrap/>
            <w:vAlign w:val="center"/>
            <w:hideMark/>
          </w:tcPr>
          <w:p w14:paraId="0FC73B79"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0.147</w:t>
            </w:r>
          </w:p>
        </w:tc>
      </w:tr>
      <w:tr w:rsidR="00ED1DBF" w:rsidRPr="00AE055C" w14:paraId="59BFF317" w14:textId="77777777" w:rsidTr="00915145">
        <w:trPr>
          <w:gridAfter w:val="1"/>
          <w:wAfter w:w="318" w:type="dxa"/>
          <w:trHeight w:val="300"/>
        </w:trPr>
        <w:tc>
          <w:tcPr>
            <w:tcW w:w="1185" w:type="dxa"/>
            <w:vMerge/>
            <w:tcBorders>
              <w:top w:val="nil"/>
              <w:left w:val="single" w:sz="18" w:space="0" w:color="auto"/>
              <w:bottom w:val="single" w:sz="4" w:space="0" w:color="000000"/>
              <w:right w:val="nil"/>
            </w:tcBorders>
            <w:vAlign w:val="center"/>
            <w:hideMark/>
          </w:tcPr>
          <w:p w14:paraId="0838C482" w14:textId="77777777" w:rsidR="00ED1DBF" w:rsidRPr="001342CE" w:rsidRDefault="00ED1DBF" w:rsidP="00D30DFD">
            <w:pPr>
              <w:spacing w:after="0" w:line="240" w:lineRule="auto"/>
              <w:rPr>
                <w:rFonts w:eastAsia="Times New Roman" w:cs="Times New Roman"/>
                <w:b/>
                <w:bCs/>
                <w:color w:val="000000"/>
                <w:sz w:val="20"/>
                <w:szCs w:val="20"/>
              </w:rPr>
            </w:pPr>
          </w:p>
        </w:tc>
        <w:tc>
          <w:tcPr>
            <w:tcW w:w="361" w:type="dxa"/>
            <w:gridSpan w:val="2"/>
            <w:tcBorders>
              <w:top w:val="nil"/>
              <w:left w:val="nil"/>
              <w:bottom w:val="single" w:sz="4" w:space="0" w:color="auto"/>
              <w:right w:val="nil"/>
            </w:tcBorders>
            <w:shd w:val="clear" w:color="000000" w:fill="DCE6F1"/>
            <w:noWrap/>
            <w:vAlign w:val="bottom"/>
            <w:hideMark/>
          </w:tcPr>
          <w:p w14:paraId="04D76614"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S</w:t>
            </w:r>
          </w:p>
        </w:tc>
        <w:tc>
          <w:tcPr>
            <w:tcW w:w="848" w:type="dxa"/>
            <w:gridSpan w:val="2"/>
            <w:tcBorders>
              <w:top w:val="nil"/>
              <w:left w:val="single" w:sz="4" w:space="0" w:color="auto"/>
              <w:bottom w:val="single" w:sz="4" w:space="0" w:color="auto"/>
              <w:right w:val="nil"/>
            </w:tcBorders>
            <w:shd w:val="clear" w:color="000000" w:fill="DCE6F1"/>
            <w:noWrap/>
            <w:vAlign w:val="center"/>
            <w:hideMark/>
          </w:tcPr>
          <w:p w14:paraId="5673BF3E"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-18.8</w:t>
            </w:r>
          </w:p>
        </w:tc>
        <w:tc>
          <w:tcPr>
            <w:tcW w:w="1318" w:type="dxa"/>
            <w:gridSpan w:val="2"/>
            <w:tcBorders>
              <w:top w:val="nil"/>
              <w:left w:val="nil"/>
              <w:bottom w:val="single" w:sz="4" w:space="0" w:color="auto"/>
              <w:right w:val="nil"/>
            </w:tcBorders>
            <w:shd w:val="clear" w:color="000000" w:fill="DCE6F1"/>
            <w:noWrap/>
            <w:vAlign w:val="center"/>
            <w:hideMark/>
          </w:tcPr>
          <w:p w14:paraId="317C8D48"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(-50‒0)</w:t>
            </w:r>
          </w:p>
        </w:tc>
        <w:tc>
          <w:tcPr>
            <w:tcW w:w="675" w:type="dxa"/>
            <w:gridSpan w:val="2"/>
            <w:vMerge/>
            <w:tcBorders>
              <w:top w:val="nil"/>
              <w:left w:val="nil"/>
              <w:bottom w:val="single" w:sz="4" w:space="0" w:color="000000"/>
              <w:right w:val="single" w:sz="4" w:space="0" w:color="auto"/>
            </w:tcBorders>
            <w:vAlign w:val="center"/>
            <w:hideMark/>
          </w:tcPr>
          <w:p w14:paraId="1244E23E" w14:textId="77777777" w:rsidR="00ED1DBF" w:rsidRPr="001342CE" w:rsidRDefault="00ED1DBF" w:rsidP="00D30DFD">
            <w:pPr>
              <w:spacing w:after="0" w:line="240" w:lineRule="auto"/>
              <w:rPr>
                <w:rFonts w:eastAsia="Times New Roman" w:cs="Times New Roman"/>
                <w:color w:val="000000"/>
                <w:sz w:val="20"/>
                <w:szCs w:val="20"/>
              </w:rPr>
            </w:pPr>
          </w:p>
        </w:tc>
        <w:tc>
          <w:tcPr>
            <w:tcW w:w="848" w:type="dxa"/>
            <w:gridSpan w:val="2"/>
            <w:tcBorders>
              <w:top w:val="nil"/>
              <w:left w:val="nil"/>
              <w:bottom w:val="single" w:sz="4" w:space="0" w:color="auto"/>
              <w:right w:val="nil"/>
            </w:tcBorders>
            <w:shd w:val="clear" w:color="000000" w:fill="DCE6F1"/>
            <w:noWrap/>
            <w:vAlign w:val="center"/>
            <w:hideMark/>
          </w:tcPr>
          <w:p w14:paraId="77A82B41"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-18.8</w:t>
            </w:r>
          </w:p>
        </w:tc>
        <w:tc>
          <w:tcPr>
            <w:tcW w:w="1407" w:type="dxa"/>
            <w:gridSpan w:val="2"/>
            <w:tcBorders>
              <w:top w:val="nil"/>
              <w:left w:val="nil"/>
              <w:bottom w:val="single" w:sz="4" w:space="0" w:color="auto"/>
              <w:right w:val="nil"/>
            </w:tcBorders>
            <w:shd w:val="clear" w:color="000000" w:fill="DCE6F1"/>
            <w:noWrap/>
            <w:vAlign w:val="center"/>
            <w:hideMark/>
          </w:tcPr>
          <w:p w14:paraId="09904870"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(-46.9‒0)</w:t>
            </w:r>
          </w:p>
        </w:tc>
        <w:tc>
          <w:tcPr>
            <w:tcW w:w="727" w:type="dxa"/>
            <w:gridSpan w:val="2"/>
            <w:vMerge/>
            <w:tcBorders>
              <w:top w:val="nil"/>
              <w:left w:val="nil"/>
              <w:bottom w:val="single" w:sz="4" w:space="0" w:color="000000"/>
              <w:right w:val="single" w:sz="4" w:space="0" w:color="auto"/>
            </w:tcBorders>
            <w:vAlign w:val="center"/>
            <w:hideMark/>
          </w:tcPr>
          <w:p w14:paraId="7F37B2D8" w14:textId="77777777" w:rsidR="00ED1DBF" w:rsidRPr="001342CE" w:rsidRDefault="00ED1DBF" w:rsidP="00D30DFD">
            <w:pPr>
              <w:spacing w:after="0" w:line="240" w:lineRule="auto"/>
              <w:rPr>
                <w:rFonts w:eastAsia="Times New Roman" w:cs="Times New Roman"/>
                <w:b/>
                <w:bCs/>
                <w:color w:val="000000"/>
                <w:sz w:val="20"/>
                <w:szCs w:val="20"/>
              </w:rPr>
            </w:pPr>
          </w:p>
        </w:tc>
        <w:tc>
          <w:tcPr>
            <w:tcW w:w="848" w:type="dxa"/>
            <w:gridSpan w:val="2"/>
            <w:tcBorders>
              <w:top w:val="nil"/>
              <w:left w:val="nil"/>
              <w:bottom w:val="single" w:sz="4" w:space="0" w:color="auto"/>
              <w:right w:val="nil"/>
            </w:tcBorders>
            <w:shd w:val="clear" w:color="000000" w:fill="DCE6F1"/>
            <w:noWrap/>
            <w:vAlign w:val="center"/>
            <w:hideMark/>
          </w:tcPr>
          <w:p w14:paraId="16D51796"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w:t>
            </w:r>
          </w:p>
        </w:tc>
        <w:tc>
          <w:tcPr>
            <w:tcW w:w="1031" w:type="dxa"/>
            <w:gridSpan w:val="2"/>
            <w:tcBorders>
              <w:top w:val="nil"/>
              <w:left w:val="nil"/>
              <w:bottom w:val="single" w:sz="4" w:space="0" w:color="auto"/>
              <w:right w:val="nil"/>
            </w:tcBorders>
            <w:shd w:val="clear" w:color="000000" w:fill="DCE6F1"/>
            <w:noWrap/>
            <w:vAlign w:val="center"/>
            <w:hideMark/>
          </w:tcPr>
          <w:p w14:paraId="07F68693"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(-21.9‒0)</w:t>
            </w:r>
          </w:p>
        </w:tc>
        <w:tc>
          <w:tcPr>
            <w:tcW w:w="675" w:type="dxa"/>
            <w:gridSpan w:val="2"/>
            <w:vMerge/>
            <w:tcBorders>
              <w:top w:val="nil"/>
              <w:left w:val="nil"/>
              <w:bottom w:val="single" w:sz="4" w:space="0" w:color="000000"/>
              <w:right w:val="single" w:sz="18" w:space="0" w:color="auto"/>
            </w:tcBorders>
            <w:vAlign w:val="center"/>
            <w:hideMark/>
          </w:tcPr>
          <w:p w14:paraId="179567E8" w14:textId="77777777" w:rsidR="00ED1DBF" w:rsidRPr="001342CE" w:rsidRDefault="00ED1DBF" w:rsidP="00D30DFD">
            <w:pPr>
              <w:spacing w:after="0" w:line="240" w:lineRule="auto"/>
              <w:rPr>
                <w:rFonts w:eastAsia="Times New Roman" w:cs="Times New Roman"/>
                <w:color w:val="000000"/>
                <w:sz w:val="20"/>
                <w:szCs w:val="20"/>
              </w:rPr>
            </w:pPr>
          </w:p>
        </w:tc>
      </w:tr>
      <w:tr w:rsidR="00ED1DBF" w:rsidRPr="00AE055C" w14:paraId="528262F3" w14:textId="77777777" w:rsidTr="00915145">
        <w:trPr>
          <w:gridAfter w:val="1"/>
          <w:wAfter w:w="318" w:type="dxa"/>
          <w:trHeight w:val="300"/>
        </w:trPr>
        <w:tc>
          <w:tcPr>
            <w:tcW w:w="1185" w:type="dxa"/>
            <w:vMerge w:val="restart"/>
            <w:tcBorders>
              <w:top w:val="nil"/>
              <w:left w:val="single" w:sz="18" w:space="0" w:color="auto"/>
              <w:bottom w:val="single" w:sz="4" w:space="0" w:color="000000"/>
              <w:right w:val="nil"/>
            </w:tcBorders>
            <w:shd w:val="clear" w:color="auto" w:fill="auto"/>
            <w:vAlign w:val="center"/>
            <w:hideMark/>
          </w:tcPr>
          <w:p w14:paraId="33DDA1F5"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 xml:space="preserve">Fear </w:t>
            </w:r>
          </w:p>
        </w:tc>
        <w:tc>
          <w:tcPr>
            <w:tcW w:w="361" w:type="dxa"/>
            <w:gridSpan w:val="2"/>
            <w:tcBorders>
              <w:top w:val="nil"/>
              <w:left w:val="nil"/>
              <w:bottom w:val="nil"/>
              <w:right w:val="nil"/>
            </w:tcBorders>
            <w:shd w:val="clear" w:color="auto" w:fill="auto"/>
            <w:noWrap/>
            <w:vAlign w:val="bottom"/>
            <w:hideMark/>
          </w:tcPr>
          <w:p w14:paraId="589AFD5C"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C</w:t>
            </w:r>
          </w:p>
        </w:tc>
        <w:tc>
          <w:tcPr>
            <w:tcW w:w="848" w:type="dxa"/>
            <w:gridSpan w:val="2"/>
            <w:tcBorders>
              <w:top w:val="nil"/>
              <w:left w:val="single" w:sz="4" w:space="0" w:color="auto"/>
              <w:bottom w:val="nil"/>
              <w:right w:val="nil"/>
            </w:tcBorders>
            <w:shd w:val="clear" w:color="auto" w:fill="auto"/>
            <w:noWrap/>
            <w:vAlign w:val="center"/>
            <w:hideMark/>
          </w:tcPr>
          <w:p w14:paraId="4CF68598"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-9.4</w:t>
            </w:r>
          </w:p>
        </w:tc>
        <w:tc>
          <w:tcPr>
            <w:tcW w:w="1318" w:type="dxa"/>
            <w:gridSpan w:val="2"/>
            <w:tcBorders>
              <w:top w:val="nil"/>
              <w:left w:val="nil"/>
              <w:bottom w:val="nil"/>
              <w:right w:val="nil"/>
            </w:tcBorders>
            <w:shd w:val="clear" w:color="auto" w:fill="auto"/>
            <w:noWrap/>
            <w:vAlign w:val="center"/>
            <w:hideMark/>
          </w:tcPr>
          <w:p w14:paraId="286FE386"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(-29.7‒0)</w:t>
            </w:r>
          </w:p>
        </w:tc>
        <w:tc>
          <w:tcPr>
            <w:tcW w:w="675" w:type="dxa"/>
            <w:gridSpan w:val="2"/>
            <w:vMerge w:val="restart"/>
            <w:tcBorders>
              <w:top w:val="nil"/>
              <w:left w:val="nil"/>
              <w:bottom w:val="single" w:sz="4" w:space="0" w:color="000000"/>
              <w:right w:val="single" w:sz="4" w:space="0" w:color="auto"/>
            </w:tcBorders>
            <w:shd w:val="clear" w:color="auto" w:fill="auto"/>
            <w:noWrap/>
            <w:vAlign w:val="center"/>
            <w:hideMark/>
          </w:tcPr>
          <w:p w14:paraId="67785435"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0.05</w:t>
            </w:r>
          </w:p>
        </w:tc>
        <w:tc>
          <w:tcPr>
            <w:tcW w:w="848" w:type="dxa"/>
            <w:gridSpan w:val="2"/>
            <w:tcBorders>
              <w:top w:val="nil"/>
              <w:left w:val="nil"/>
              <w:bottom w:val="nil"/>
              <w:right w:val="nil"/>
            </w:tcBorders>
            <w:shd w:val="clear" w:color="auto" w:fill="auto"/>
            <w:noWrap/>
            <w:vAlign w:val="center"/>
            <w:hideMark/>
          </w:tcPr>
          <w:p w14:paraId="0E436EDE"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-12.5</w:t>
            </w:r>
          </w:p>
        </w:tc>
        <w:tc>
          <w:tcPr>
            <w:tcW w:w="1407" w:type="dxa"/>
            <w:gridSpan w:val="2"/>
            <w:tcBorders>
              <w:top w:val="nil"/>
              <w:left w:val="nil"/>
              <w:bottom w:val="nil"/>
              <w:right w:val="nil"/>
            </w:tcBorders>
            <w:shd w:val="clear" w:color="auto" w:fill="auto"/>
            <w:noWrap/>
            <w:vAlign w:val="center"/>
            <w:hideMark/>
          </w:tcPr>
          <w:p w14:paraId="4C00E68E"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(-43.8‒-3.1)</w:t>
            </w:r>
          </w:p>
        </w:tc>
        <w:tc>
          <w:tcPr>
            <w:tcW w:w="727" w:type="dxa"/>
            <w:gridSpan w:val="2"/>
            <w:vMerge w:val="restart"/>
            <w:tcBorders>
              <w:top w:val="nil"/>
              <w:left w:val="nil"/>
              <w:bottom w:val="single" w:sz="4" w:space="0" w:color="000000"/>
              <w:right w:val="single" w:sz="4" w:space="0" w:color="auto"/>
            </w:tcBorders>
            <w:shd w:val="clear" w:color="auto" w:fill="auto"/>
            <w:noWrap/>
            <w:vAlign w:val="center"/>
            <w:hideMark/>
          </w:tcPr>
          <w:p w14:paraId="5999C05C"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0.032</w:t>
            </w:r>
          </w:p>
        </w:tc>
        <w:tc>
          <w:tcPr>
            <w:tcW w:w="848" w:type="dxa"/>
            <w:gridSpan w:val="2"/>
            <w:tcBorders>
              <w:top w:val="nil"/>
              <w:left w:val="nil"/>
              <w:bottom w:val="nil"/>
              <w:right w:val="nil"/>
            </w:tcBorders>
            <w:shd w:val="clear" w:color="auto" w:fill="auto"/>
            <w:noWrap/>
            <w:vAlign w:val="center"/>
            <w:hideMark/>
          </w:tcPr>
          <w:p w14:paraId="7A755D0A"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-6.3</w:t>
            </w:r>
          </w:p>
        </w:tc>
        <w:tc>
          <w:tcPr>
            <w:tcW w:w="1031" w:type="dxa"/>
            <w:gridSpan w:val="2"/>
            <w:tcBorders>
              <w:top w:val="nil"/>
              <w:left w:val="nil"/>
              <w:bottom w:val="nil"/>
              <w:right w:val="nil"/>
            </w:tcBorders>
            <w:shd w:val="clear" w:color="auto" w:fill="auto"/>
            <w:noWrap/>
            <w:vAlign w:val="center"/>
            <w:hideMark/>
          </w:tcPr>
          <w:p w14:paraId="037F3DC0"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(-12.5‒0)</w:t>
            </w:r>
          </w:p>
        </w:tc>
        <w:tc>
          <w:tcPr>
            <w:tcW w:w="675" w:type="dxa"/>
            <w:gridSpan w:val="2"/>
            <w:vMerge w:val="restart"/>
            <w:tcBorders>
              <w:top w:val="nil"/>
              <w:left w:val="nil"/>
              <w:bottom w:val="single" w:sz="4" w:space="0" w:color="000000"/>
              <w:right w:val="single" w:sz="18" w:space="0" w:color="auto"/>
            </w:tcBorders>
            <w:shd w:val="clear" w:color="auto" w:fill="auto"/>
            <w:noWrap/>
            <w:vAlign w:val="center"/>
            <w:hideMark/>
          </w:tcPr>
          <w:p w14:paraId="43709EA1"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0.046</w:t>
            </w:r>
          </w:p>
        </w:tc>
      </w:tr>
      <w:tr w:rsidR="00ED1DBF" w:rsidRPr="00AE055C" w14:paraId="2A65AF46" w14:textId="77777777" w:rsidTr="00915145">
        <w:trPr>
          <w:gridAfter w:val="1"/>
          <w:wAfter w:w="318" w:type="dxa"/>
          <w:trHeight w:val="300"/>
        </w:trPr>
        <w:tc>
          <w:tcPr>
            <w:tcW w:w="1185" w:type="dxa"/>
            <w:vMerge/>
            <w:tcBorders>
              <w:top w:val="nil"/>
              <w:left w:val="single" w:sz="18" w:space="0" w:color="auto"/>
              <w:bottom w:val="single" w:sz="4" w:space="0" w:color="000000"/>
              <w:right w:val="nil"/>
            </w:tcBorders>
            <w:vAlign w:val="center"/>
            <w:hideMark/>
          </w:tcPr>
          <w:p w14:paraId="6F1AE3A9" w14:textId="77777777" w:rsidR="00ED1DBF" w:rsidRPr="001342CE" w:rsidRDefault="00ED1DBF" w:rsidP="00D30DFD">
            <w:pPr>
              <w:spacing w:after="0" w:line="240" w:lineRule="auto"/>
              <w:rPr>
                <w:rFonts w:eastAsia="Times New Roman" w:cs="Times New Roman"/>
                <w:b/>
                <w:bCs/>
                <w:color w:val="000000"/>
                <w:sz w:val="20"/>
                <w:szCs w:val="20"/>
              </w:rPr>
            </w:pPr>
          </w:p>
        </w:tc>
        <w:tc>
          <w:tcPr>
            <w:tcW w:w="361" w:type="dxa"/>
            <w:gridSpan w:val="2"/>
            <w:tcBorders>
              <w:top w:val="nil"/>
              <w:left w:val="nil"/>
              <w:bottom w:val="single" w:sz="4" w:space="0" w:color="auto"/>
              <w:right w:val="nil"/>
            </w:tcBorders>
            <w:shd w:val="clear" w:color="auto" w:fill="auto"/>
            <w:noWrap/>
            <w:vAlign w:val="bottom"/>
            <w:hideMark/>
          </w:tcPr>
          <w:p w14:paraId="759CACFF"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S</w:t>
            </w:r>
          </w:p>
        </w:tc>
        <w:tc>
          <w:tcPr>
            <w:tcW w:w="848" w:type="dxa"/>
            <w:gridSpan w:val="2"/>
            <w:tcBorders>
              <w:top w:val="nil"/>
              <w:left w:val="single" w:sz="4" w:space="0" w:color="auto"/>
              <w:bottom w:val="single" w:sz="4" w:space="0" w:color="auto"/>
              <w:right w:val="nil"/>
            </w:tcBorders>
            <w:shd w:val="clear" w:color="auto" w:fill="auto"/>
            <w:noWrap/>
            <w:vAlign w:val="center"/>
            <w:hideMark/>
          </w:tcPr>
          <w:p w14:paraId="16A5B457"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0</w:t>
            </w:r>
          </w:p>
        </w:tc>
        <w:tc>
          <w:tcPr>
            <w:tcW w:w="1318" w:type="dxa"/>
            <w:gridSpan w:val="2"/>
            <w:tcBorders>
              <w:top w:val="nil"/>
              <w:left w:val="nil"/>
              <w:bottom w:val="single" w:sz="4" w:space="0" w:color="auto"/>
              <w:right w:val="nil"/>
            </w:tcBorders>
            <w:shd w:val="clear" w:color="auto" w:fill="auto"/>
            <w:noWrap/>
            <w:vAlign w:val="center"/>
            <w:hideMark/>
          </w:tcPr>
          <w:p w14:paraId="6E043143"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(-17.2‒0)</w:t>
            </w:r>
          </w:p>
        </w:tc>
        <w:tc>
          <w:tcPr>
            <w:tcW w:w="675" w:type="dxa"/>
            <w:gridSpan w:val="2"/>
            <w:vMerge/>
            <w:tcBorders>
              <w:top w:val="nil"/>
              <w:left w:val="nil"/>
              <w:bottom w:val="single" w:sz="4" w:space="0" w:color="000000"/>
              <w:right w:val="single" w:sz="4" w:space="0" w:color="auto"/>
            </w:tcBorders>
            <w:vAlign w:val="center"/>
            <w:hideMark/>
          </w:tcPr>
          <w:p w14:paraId="31E2D85E" w14:textId="77777777" w:rsidR="00ED1DBF" w:rsidRPr="001342CE" w:rsidRDefault="00ED1DBF" w:rsidP="00D30DFD">
            <w:pPr>
              <w:spacing w:after="0" w:line="240" w:lineRule="auto"/>
              <w:rPr>
                <w:rFonts w:eastAsia="Times New Roman" w:cs="Times New Roman"/>
                <w:b/>
                <w:bCs/>
                <w:color w:val="000000"/>
                <w:sz w:val="20"/>
                <w:szCs w:val="20"/>
              </w:rPr>
            </w:pPr>
          </w:p>
        </w:tc>
        <w:tc>
          <w:tcPr>
            <w:tcW w:w="848" w:type="dxa"/>
            <w:gridSpan w:val="2"/>
            <w:tcBorders>
              <w:top w:val="nil"/>
              <w:left w:val="nil"/>
              <w:bottom w:val="single" w:sz="4" w:space="0" w:color="auto"/>
              <w:right w:val="nil"/>
            </w:tcBorders>
            <w:shd w:val="clear" w:color="auto" w:fill="auto"/>
            <w:noWrap/>
            <w:vAlign w:val="center"/>
            <w:hideMark/>
          </w:tcPr>
          <w:p w14:paraId="66935FE5"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0</w:t>
            </w:r>
          </w:p>
        </w:tc>
        <w:tc>
          <w:tcPr>
            <w:tcW w:w="1407" w:type="dxa"/>
            <w:gridSpan w:val="2"/>
            <w:tcBorders>
              <w:top w:val="nil"/>
              <w:left w:val="nil"/>
              <w:bottom w:val="single" w:sz="4" w:space="0" w:color="auto"/>
              <w:right w:val="nil"/>
            </w:tcBorders>
            <w:shd w:val="clear" w:color="auto" w:fill="auto"/>
            <w:noWrap/>
            <w:vAlign w:val="center"/>
            <w:hideMark/>
          </w:tcPr>
          <w:p w14:paraId="3ED2B48D"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(-18.8‒0)</w:t>
            </w:r>
          </w:p>
        </w:tc>
        <w:tc>
          <w:tcPr>
            <w:tcW w:w="727" w:type="dxa"/>
            <w:gridSpan w:val="2"/>
            <w:vMerge/>
            <w:tcBorders>
              <w:top w:val="nil"/>
              <w:left w:val="nil"/>
              <w:bottom w:val="single" w:sz="4" w:space="0" w:color="000000"/>
              <w:right w:val="single" w:sz="4" w:space="0" w:color="auto"/>
            </w:tcBorders>
            <w:vAlign w:val="center"/>
            <w:hideMark/>
          </w:tcPr>
          <w:p w14:paraId="34654F54" w14:textId="77777777" w:rsidR="00ED1DBF" w:rsidRPr="001342CE" w:rsidRDefault="00ED1DBF" w:rsidP="00D30DFD">
            <w:pPr>
              <w:spacing w:after="0" w:line="240" w:lineRule="auto"/>
              <w:rPr>
                <w:rFonts w:eastAsia="Times New Roman" w:cs="Times New Roman"/>
                <w:b/>
                <w:bCs/>
                <w:color w:val="000000"/>
                <w:sz w:val="20"/>
                <w:szCs w:val="20"/>
              </w:rPr>
            </w:pPr>
          </w:p>
        </w:tc>
        <w:tc>
          <w:tcPr>
            <w:tcW w:w="848" w:type="dxa"/>
            <w:gridSpan w:val="2"/>
            <w:tcBorders>
              <w:top w:val="nil"/>
              <w:left w:val="nil"/>
              <w:bottom w:val="single" w:sz="4" w:space="0" w:color="auto"/>
              <w:right w:val="nil"/>
            </w:tcBorders>
            <w:shd w:val="clear" w:color="auto" w:fill="auto"/>
            <w:noWrap/>
            <w:vAlign w:val="center"/>
            <w:hideMark/>
          </w:tcPr>
          <w:p w14:paraId="2DA115A5"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0</w:t>
            </w:r>
          </w:p>
        </w:tc>
        <w:tc>
          <w:tcPr>
            <w:tcW w:w="1031" w:type="dxa"/>
            <w:gridSpan w:val="2"/>
            <w:tcBorders>
              <w:top w:val="nil"/>
              <w:left w:val="nil"/>
              <w:bottom w:val="single" w:sz="4" w:space="0" w:color="auto"/>
              <w:right w:val="nil"/>
            </w:tcBorders>
            <w:shd w:val="clear" w:color="auto" w:fill="auto"/>
            <w:noWrap/>
            <w:vAlign w:val="center"/>
            <w:hideMark/>
          </w:tcPr>
          <w:p w14:paraId="17C82366"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(0‒0)</w:t>
            </w:r>
          </w:p>
        </w:tc>
        <w:tc>
          <w:tcPr>
            <w:tcW w:w="675" w:type="dxa"/>
            <w:gridSpan w:val="2"/>
            <w:vMerge/>
            <w:tcBorders>
              <w:top w:val="nil"/>
              <w:left w:val="nil"/>
              <w:bottom w:val="single" w:sz="4" w:space="0" w:color="000000"/>
              <w:right w:val="single" w:sz="18" w:space="0" w:color="auto"/>
            </w:tcBorders>
            <w:vAlign w:val="center"/>
            <w:hideMark/>
          </w:tcPr>
          <w:p w14:paraId="7402CC54" w14:textId="77777777" w:rsidR="00ED1DBF" w:rsidRPr="001342CE" w:rsidRDefault="00ED1DBF" w:rsidP="00D30DFD">
            <w:pPr>
              <w:spacing w:after="0" w:line="240" w:lineRule="auto"/>
              <w:rPr>
                <w:rFonts w:eastAsia="Times New Roman" w:cs="Times New Roman"/>
                <w:b/>
                <w:bCs/>
                <w:color w:val="000000"/>
                <w:sz w:val="20"/>
                <w:szCs w:val="20"/>
              </w:rPr>
            </w:pPr>
          </w:p>
        </w:tc>
      </w:tr>
      <w:tr w:rsidR="00ED1DBF" w:rsidRPr="00AE055C" w14:paraId="6472E6C0" w14:textId="77777777" w:rsidTr="00915145">
        <w:trPr>
          <w:gridAfter w:val="1"/>
          <w:wAfter w:w="318" w:type="dxa"/>
          <w:trHeight w:val="300"/>
        </w:trPr>
        <w:tc>
          <w:tcPr>
            <w:tcW w:w="1185" w:type="dxa"/>
            <w:vMerge w:val="restart"/>
            <w:tcBorders>
              <w:top w:val="nil"/>
              <w:left w:val="single" w:sz="18" w:space="0" w:color="auto"/>
              <w:bottom w:val="single" w:sz="4" w:space="0" w:color="000000"/>
              <w:right w:val="nil"/>
            </w:tcBorders>
            <w:shd w:val="clear" w:color="000000" w:fill="DCE6F1"/>
            <w:vAlign w:val="center"/>
            <w:hideMark/>
          </w:tcPr>
          <w:p w14:paraId="1A01D48B"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 xml:space="preserve">Mental Health  </w:t>
            </w:r>
          </w:p>
        </w:tc>
        <w:tc>
          <w:tcPr>
            <w:tcW w:w="361" w:type="dxa"/>
            <w:gridSpan w:val="2"/>
            <w:tcBorders>
              <w:top w:val="nil"/>
              <w:left w:val="nil"/>
              <w:bottom w:val="nil"/>
              <w:right w:val="nil"/>
            </w:tcBorders>
            <w:shd w:val="clear" w:color="000000" w:fill="DCE6F1"/>
            <w:noWrap/>
            <w:vAlign w:val="bottom"/>
            <w:hideMark/>
          </w:tcPr>
          <w:p w14:paraId="5343903E"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C</w:t>
            </w:r>
          </w:p>
        </w:tc>
        <w:tc>
          <w:tcPr>
            <w:tcW w:w="848" w:type="dxa"/>
            <w:gridSpan w:val="2"/>
            <w:tcBorders>
              <w:top w:val="nil"/>
              <w:left w:val="single" w:sz="4" w:space="0" w:color="auto"/>
              <w:bottom w:val="nil"/>
              <w:right w:val="nil"/>
            </w:tcBorders>
            <w:shd w:val="clear" w:color="000000" w:fill="DCE6F1"/>
            <w:noWrap/>
            <w:vAlign w:val="center"/>
            <w:hideMark/>
          </w:tcPr>
          <w:p w14:paraId="620179C1"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-30</w:t>
            </w:r>
          </w:p>
        </w:tc>
        <w:tc>
          <w:tcPr>
            <w:tcW w:w="1318" w:type="dxa"/>
            <w:gridSpan w:val="2"/>
            <w:tcBorders>
              <w:top w:val="nil"/>
              <w:left w:val="nil"/>
              <w:bottom w:val="nil"/>
              <w:right w:val="nil"/>
            </w:tcBorders>
            <w:shd w:val="clear" w:color="000000" w:fill="DCE6F1"/>
            <w:noWrap/>
            <w:vAlign w:val="center"/>
            <w:hideMark/>
          </w:tcPr>
          <w:p w14:paraId="6DA8DC25"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(-50‒0)</w:t>
            </w:r>
          </w:p>
        </w:tc>
        <w:tc>
          <w:tcPr>
            <w:tcW w:w="675" w:type="dxa"/>
            <w:gridSpan w:val="2"/>
            <w:vMerge w:val="restart"/>
            <w:tcBorders>
              <w:top w:val="nil"/>
              <w:left w:val="nil"/>
              <w:bottom w:val="single" w:sz="4" w:space="0" w:color="000000"/>
              <w:right w:val="single" w:sz="4" w:space="0" w:color="auto"/>
            </w:tcBorders>
            <w:shd w:val="clear" w:color="000000" w:fill="DCE6F1"/>
            <w:noWrap/>
            <w:vAlign w:val="center"/>
            <w:hideMark/>
          </w:tcPr>
          <w:p w14:paraId="02125B06"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0.027</w:t>
            </w:r>
          </w:p>
        </w:tc>
        <w:tc>
          <w:tcPr>
            <w:tcW w:w="848" w:type="dxa"/>
            <w:gridSpan w:val="2"/>
            <w:tcBorders>
              <w:top w:val="nil"/>
              <w:left w:val="nil"/>
              <w:bottom w:val="nil"/>
              <w:right w:val="nil"/>
            </w:tcBorders>
            <w:shd w:val="clear" w:color="000000" w:fill="DCE6F1"/>
            <w:noWrap/>
            <w:vAlign w:val="center"/>
            <w:hideMark/>
          </w:tcPr>
          <w:p w14:paraId="153AB818" w14:textId="77777777" w:rsidR="00ED1DBF" w:rsidRPr="00E71446" w:rsidRDefault="00ED1DBF" w:rsidP="00D30DFD">
            <w:pPr>
              <w:spacing w:after="0" w:line="240" w:lineRule="auto"/>
              <w:jc w:val="center"/>
              <w:rPr>
                <w:rFonts w:eastAsia="Times New Roman" w:cs="Times New Roman"/>
                <w:bCs/>
                <w:color w:val="000000"/>
                <w:sz w:val="20"/>
                <w:szCs w:val="20"/>
              </w:rPr>
            </w:pPr>
            <w:r w:rsidRPr="00E71446">
              <w:rPr>
                <w:rFonts w:eastAsia="Times New Roman" w:cs="Times New Roman"/>
                <w:bCs/>
                <w:color w:val="000000"/>
                <w:sz w:val="20"/>
                <w:szCs w:val="20"/>
              </w:rPr>
              <w:t>-30</w:t>
            </w:r>
          </w:p>
        </w:tc>
        <w:tc>
          <w:tcPr>
            <w:tcW w:w="1407" w:type="dxa"/>
            <w:gridSpan w:val="2"/>
            <w:tcBorders>
              <w:top w:val="nil"/>
              <w:left w:val="nil"/>
              <w:bottom w:val="nil"/>
              <w:right w:val="nil"/>
            </w:tcBorders>
            <w:shd w:val="clear" w:color="000000" w:fill="DCE6F1"/>
            <w:noWrap/>
            <w:vAlign w:val="center"/>
            <w:hideMark/>
          </w:tcPr>
          <w:p w14:paraId="08B52C11" w14:textId="77777777" w:rsidR="00ED1DBF" w:rsidRPr="00E71446" w:rsidRDefault="00ED1DBF" w:rsidP="00D30DFD">
            <w:pPr>
              <w:spacing w:after="0" w:line="240" w:lineRule="auto"/>
              <w:jc w:val="center"/>
              <w:rPr>
                <w:rFonts w:eastAsia="Times New Roman" w:cs="Times New Roman"/>
                <w:bCs/>
                <w:color w:val="000000"/>
                <w:sz w:val="20"/>
                <w:szCs w:val="20"/>
              </w:rPr>
            </w:pPr>
            <w:r w:rsidRPr="00E71446">
              <w:rPr>
                <w:rFonts w:eastAsia="Times New Roman" w:cs="Times New Roman"/>
                <w:bCs/>
                <w:color w:val="000000"/>
                <w:sz w:val="20"/>
                <w:szCs w:val="20"/>
              </w:rPr>
              <w:t>(-60‒-2.5)</w:t>
            </w:r>
          </w:p>
        </w:tc>
        <w:tc>
          <w:tcPr>
            <w:tcW w:w="727" w:type="dxa"/>
            <w:gridSpan w:val="2"/>
            <w:vMerge w:val="restart"/>
            <w:tcBorders>
              <w:top w:val="nil"/>
              <w:left w:val="nil"/>
              <w:bottom w:val="single" w:sz="4" w:space="0" w:color="000000"/>
              <w:right w:val="single" w:sz="4" w:space="0" w:color="auto"/>
            </w:tcBorders>
            <w:shd w:val="clear" w:color="000000" w:fill="DCE6F1"/>
            <w:noWrap/>
            <w:vAlign w:val="center"/>
            <w:hideMark/>
          </w:tcPr>
          <w:p w14:paraId="29684D43" w14:textId="05AB2D37" w:rsidR="00ED1DBF" w:rsidRPr="00E71446" w:rsidRDefault="00ED1DBF" w:rsidP="00D30DFD">
            <w:pPr>
              <w:spacing w:after="0" w:line="240" w:lineRule="auto"/>
              <w:jc w:val="center"/>
              <w:rPr>
                <w:rFonts w:eastAsia="Times New Roman" w:cs="Times New Roman"/>
                <w:bCs/>
                <w:color w:val="000000"/>
                <w:sz w:val="20"/>
                <w:szCs w:val="20"/>
              </w:rPr>
            </w:pPr>
          </w:p>
        </w:tc>
        <w:tc>
          <w:tcPr>
            <w:tcW w:w="848" w:type="dxa"/>
            <w:gridSpan w:val="2"/>
            <w:tcBorders>
              <w:top w:val="nil"/>
              <w:left w:val="nil"/>
              <w:bottom w:val="nil"/>
              <w:right w:val="nil"/>
            </w:tcBorders>
            <w:shd w:val="clear" w:color="000000" w:fill="DCE6F1"/>
            <w:noWrap/>
            <w:vAlign w:val="center"/>
            <w:hideMark/>
          </w:tcPr>
          <w:p w14:paraId="2168C8F3"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w:t>
            </w:r>
          </w:p>
        </w:tc>
        <w:tc>
          <w:tcPr>
            <w:tcW w:w="1031" w:type="dxa"/>
            <w:gridSpan w:val="2"/>
            <w:tcBorders>
              <w:top w:val="nil"/>
              <w:left w:val="nil"/>
              <w:bottom w:val="nil"/>
              <w:right w:val="nil"/>
            </w:tcBorders>
            <w:shd w:val="clear" w:color="000000" w:fill="DCE6F1"/>
            <w:noWrap/>
            <w:vAlign w:val="center"/>
            <w:hideMark/>
          </w:tcPr>
          <w:p w14:paraId="4BF1E24D"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(-25‒0)</w:t>
            </w:r>
          </w:p>
        </w:tc>
        <w:tc>
          <w:tcPr>
            <w:tcW w:w="675" w:type="dxa"/>
            <w:gridSpan w:val="2"/>
            <w:vMerge w:val="restart"/>
            <w:tcBorders>
              <w:top w:val="nil"/>
              <w:left w:val="nil"/>
              <w:bottom w:val="single" w:sz="4" w:space="0" w:color="000000"/>
              <w:right w:val="single" w:sz="18" w:space="0" w:color="auto"/>
            </w:tcBorders>
            <w:shd w:val="clear" w:color="000000" w:fill="DCE6F1"/>
            <w:noWrap/>
            <w:vAlign w:val="center"/>
            <w:hideMark/>
          </w:tcPr>
          <w:p w14:paraId="19837D84"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0.435</w:t>
            </w:r>
          </w:p>
        </w:tc>
      </w:tr>
      <w:tr w:rsidR="00ED1DBF" w:rsidRPr="00AE055C" w14:paraId="5F7FDF12" w14:textId="77777777" w:rsidTr="00915145">
        <w:trPr>
          <w:gridAfter w:val="1"/>
          <w:wAfter w:w="318" w:type="dxa"/>
          <w:trHeight w:val="300"/>
        </w:trPr>
        <w:tc>
          <w:tcPr>
            <w:tcW w:w="1185" w:type="dxa"/>
            <w:vMerge/>
            <w:tcBorders>
              <w:top w:val="nil"/>
              <w:left w:val="single" w:sz="18" w:space="0" w:color="auto"/>
              <w:bottom w:val="single" w:sz="4" w:space="0" w:color="000000"/>
              <w:right w:val="nil"/>
            </w:tcBorders>
            <w:vAlign w:val="center"/>
            <w:hideMark/>
          </w:tcPr>
          <w:p w14:paraId="270B3DA0" w14:textId="77777777" w:rsidR="00ED1DBF" w:rsidRPr="001342CE" w:rsidRDefault="00ED1DBF" w:rsidP="00D30DFD">
            <w:pPr>
              <w:spacing w:after="0" w:line="240" w:lineRule="auto"/>
              <w:rPr>
                <w:rFonts w:eastAsia="Times New Roman" w:cs="Times New Roman"/>
                <w:b/>
                <w:bCs/>
                <w:color w:val="000000"/>
                <w:sz w:val="20"/>
                <w:szCs w:val="20"/>
              </w:rPr>
            </w:pPr>
          </w:p>
        </w:tc>
        <w:tc>
          <w:tcPr>
            <w:tcW w:w="361" w:type="dxa"/>
            <w:gridSpan w:val="2"/>
            <w:tcBorders>
              <w:top w:val="nil"/>
              <w:left w:val="nil"/>
              <w:bottom w:val="single" w:sz="4" w:space="0" w:color="auto"/>
              <w:right w:val="nil"/>
            </w:tcBorders>
            <w:shd w:val="clear" w:color="000000" w:fill="DCE6F1"/>
            <w:noWrap/>
            <w:vAlign w:val="bottom"/>
            <w:hideMark/>
          </w:tcPr>
          <w:p w14:paraId="7547EFD9"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S</w:t>
            </w:r>
          </w:p>
        </w:tc>
        <w:tc>
          <w:tcPr>
            <w:tcW w:w="848" w:type="dxa"/>
            <w:gridSpan w:val="2"/>
            <w:tcBorders>
              <w:top w:val="nil"/>
              <w:left w:val="single" w:sz="4" w:space="0" w:color="auto"/>
              <w:bottom w:val="single" w:sz="4" w:space="0" w:color="auto"/>
              <w:right w:val="nil"/>
            </w:tcBorders>
            <w:shd w:val="clear" w:color="000000" w:fill="DCE6F1"/>
            <w:noWrap/>
            <w:vAlign w:val="center"/>
            <w:hideMark/>
          </w:tcPr>
          <w:p w14:paraId="63C95808"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0</w:t>
            </w:r>
          </w:p>
        </w:tc>
        <w:tc>
          <w:tcPr>
            <w:tcW w:w="1318" w:type="dxa"/>
            <w:gridSpan w:val="2"/>
            <w:tcBorders>
              <w:top w:val="nil"/>
              <w:left w:val="nil"/>
              <w:bottom w:val="single" w:sz="4" w:space="0" w:color="auto"/>
              <w:right w:val="nil"/>
            </w:tcBorders>
            <w:shd w:val="clear" w:color="000000" w:fill="DCE6F1"/>
            <w:noWrap/>
            <w:vAlign w:val="center"/>
            <w:hideMark/>
          </w:tcPr>
          <w:p w14:paraId="3E432304"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(-18.8‒0)</w:t>
            </w:r>
          </w:p>
        </w:tc>
        <w:tc>
          <w:tcPr>
            <w:tcW w:w="675" w:type="dxa"/>
            <w:gridSpan w:val="2"/>
            <w:vMerge/>
            <w:tcBorders>
              <w:top w:val="nil"/>
              <w:left w:val="nil"/>
              <w:bottom w:val="single" w:sz="4" w:space="0" w:color="000000"/>
              <w:right w:val="single" w:sz="4" w:space="0" w:color="auto"/>
            </w:tcBorders>
            <w:vAlign w:val="center"/>
            <w:hideMark/>
          </w:tcPr>
          <w:p w14:paraId="30A330D0" w14:textId="77777777" w:rsidR="00ED1DBF" w:rsidRPr="001342CE" w:rsidRDefault="00ED1DBF" w:rsidP="00D30DFD">
            <w:pPr>
              <w:spacing w:after="0" w:line="240" w:lineRule="auto"/>
              <w:rPr>
                <w:rFonts w:eastAsia="Times New Roman" w:cs="Times New Roman"/>
                <w:b/>
                <w:bCs/>
                <w:color w:val="000000"/>
                <w:sz w:val="20"/>
                <w:szCs w:val="20"/>
              </w:rPr>
            </w:pPr>
          </w:p>
        </w:tc>
        <w:tc>
          <w:tcPr>
            <w:tcW w:w="848" w:type="dxa"/>
            <w:gridSpan w:val="2"/>
            <w:tcBorders>
              <w:top w:val="nil"/>
              <w:left w:val="nil"/>
              <w:bottom w:val="single" w:sz="4" w:space="0" w:color="auto"/>
              <w:right w:val="nil"/>
            </w:tcBorders>
            <w:shd w:val="clear" w:color="000000" w:fill="DCE6F1"/>
            <w:noWrap/>
            <w:vAlign w:val="center"/>
            <w:hideMark/>
          </w:tcPr>
          <w:p w14:paraId="7F9465AA" w14:textId="77777777" w:rsidR="00ED1DBF" w:rsidRPr="00E71446" w:rsidRDefault="00ED1DBF" w:rsidP="00D30DFD">
            <w:pPr>
              <w:spacing w:after="0" w:line="240" w:lineRule="auto"/>
              <w:jc w:val="center"/>
              <w:rPr>
                <w:rFonts w:eastAsia="Times New Roman" w:cs="Times New Roman"/>
                <w:bCs/>
                <w:color w:val="000000"/>
                <w:sz w:val="20"/>
                <w:szCs w:val="20"/>
              </w:rPr>
            </w:pPr>
            <w:r w:rsidRPr="00E71446">
              <w:rPr>
                <w:rFonts w:eastAsia="Times New Roman" w:cs="Times New Roman"/>
                <w:bCs/>
                <w:color w:val="000000"/>
                <w:sz w:val="20"/>
                <w:szCs w:val="20"/>
              </w:rPr>
              <w:t>-5</w:t>
            </w:r>
          </w:p>
        </w:tc>
        <w:tc>
          <w:tcPr>
            <w:tcW w:w="1407" w:type="dxa"/>
            <w:gridSpan w:val="2"/>
            <w:tcBorders>
              <w:top w:val="nil"/>
              <w:left w:val="nil"/>
              <w:bottom w:val="single" w:sz="4" w:space="0" w:color="auto"/>
              <w:right w:val="nil"/>
            </w:tcBorders>
            <w:shd w:val="clear" w:color="000000" w:fill="DCE6F1"/>
            <w:noWrap/>
            <w:vAlign w:val="center"/>
            <w:hideMark/>
          </w:tcPr>
          <w:p w14:paraId="7B0D1D3F" w14:textId="77777777" w:rsidR="00ED1DBF" w:rsidRPr="00E71446" w:rsidRDefault="00ED1DBF" w:rsidP="00D30DFD">
            <w:pPr>
              <w:spacing w:after="0" w:line="240" w:lineRule="auto"/>
              <w:jc w:val="center"/>
              <w:rPr>
                <w:rFonts w:eastAsia="Times New Roman" w:cs="Times New Roman"/>
                <w:bCs/>
                <w:color w:val="000000"/>
                <w:sz w:val="20"/>
                <w:szCs w:val="20"/>
              </w:rPr>
            </w:pPr>
            <w:r w:rsidRPr="00E71446">
              <w:rPr>
                <w:rFonts w:eastAsia="Times New Roman" w:cs="Times New Roman"/>
                <w:bCs/>
                <w:color w:val="000000"/>
                <w:sz w:val="20"/>
                <w:szCs w:val="20"/>
              </w:rPr>
              <w:t>(-22.5‒0)</w:t>
            </w:r>
          </w:p>
        </w:tc>
        <w:tc>
          <w:tcPr>
            <w:tcW w:w="727" w:type="dxa"/>
            <w:gridSpan w:val="2"/>
            <w:vMerge/>
            <w:tcBorders>
              <w:top w:val="nil"/>
              <w:left w:val="nil"/>
              <w:bottom w:val="single" w:sz="4" w:space="0" w:color="000000"/>
              <w:right w:val="single" w:sz="4" w:space="0" w:color="auto"/>
            </w:tcBorders>
            <w:vAlign w:val="center"/>
            <w:hideMark/>
          </w:tcPr>
          <w:p w14:paraId="4127E8B5" w14:textId="77777777" w:rsidR="00ED1DBF" w:rsidRPr="001342CE" w:rsidRDefault="00ED1DBF" w:rsidP="00D30DFD">
            <w:pPr>
              <w:spacing w:after="0" w:line="240" w:lineRule="auto"/>
              <w:rPr>
                <w:rFonts w:eastAsia="Times New Roman" w:cs="Times New Roman"/>
                <w:b/>
                <w:bCs/>
                <w:color w:val="000000"/>
                <w:sz w:val="20"/>
                <w:szCs w:val="20"/>
              </w:rPr>
            </w:pPr>
          </w:p>
        </w:tc>
        <w:tc>
          <w:tcPr>
            <w:tcW w:w="848" w:type="dxa"/>
            <w:gridSpan w:val="2"/>
            <w:tcBorders>
              <w:top w:val="nil"/>
              <w:left w:val="nil"/>
              <w:bottom w:val="single" w:sz="4" w:space="0" w:color="auto"/>
              <w:right w:val="nil"/>
            </w:tcBorders>
            <w:shd w:val="clear" w:color="000000" w:fill="DCE6F1"/>
            <w:noWrap/>
            <w:vAlign w:val="center"/>
            <w:hideMark/>
          </w:tcPr>
          <w:p w14:paraId="3317341B"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w:t>
            </w:r>
          </w:p>
        </w:tc>
        <w:tc>
          <w:tcPr>
            <w:tcW w:w="1031" w:type="dxa"/>
            <w:gridSpan w:val="2"/>
            <w:tcBorders>
              <w:top w:val="nil"/>
              <w:left w:val="nil"/>
              <w:bottom w:val="single" w:sz="4" w:space="0" w:color="auto"/>
              <w:right w:val="nil"/>
            </w:tcBorders>
            <w:shd w:val="clear" w:color="000000" w:fill="DCE6F1"/>
            <w:noWrap/>
            <w:vAlign w:val="center"/>
            <w:hideMark/>
          </w:tcPr>
          <w:p w14:paraId="1C36CD2C"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(-17.5‒0)</w:t>
            </w:r>
          </w:p>
        </w:tc>
        <w:tc>
          <w:tcPr>
            <w:tcW w:w="675" w:type="dxa"/>
            <w:gridSpan w:val="2"/>
            <w:vMerge/>
            <w:tcBorders>
              <w:top w:val="nil"/>
              <w:left w:val="nil"/>
              <w:bottom w:val="single" w:sz="4" w:space="0" w:color="000000"/>
              <w:right w:val="single" w:sz="18" w:space="0" w:color="auto"/>
            </w:tcBorders>
            <w:vAlign w:val="center"/>
            <w:hideMark/>
          </w:tcPr>
          <w:p w14:paraId="7D69D0E5" w14:textId="77777777" w:rsidR="00ED1DBF" w:rsidRPr="001342CE" w:rsidRDefault="00ED1DBF" w:rsidP="00D30DFD">
            <w:pPr>
              <w:spacing w:after="0" w:line="240" w:lineRule="auto"/>
              <w:rPr>
                <w:rFonts w:eastAsia="Times New Roman" w:cs="Times New Roman"/>
                <w:color w:val="000000"/>
                <w:sz w:val="20"/>
                <w:szCs w:val="20"/>
              </w:rPr>
            </w:pPr>
          </w:p>
        </w:tc>
      </w:tr>
      <w:tr w:rsidR="00ED1DBF" w:rsidRPr="00AE055C" w14:paraId="0E9E18C1" w14:textId="77777777" w:rsidTr="00915145">
        <w:trPr>
          <w:gridAfter w:val="1"/>
          <w:wAfter w:w="318" w:type="dxa"/>
          <w:trHeight w:val="300"/>
        </w:trPr>
        <w:tc>
          <w:tcPr>
            <w:tcW w:w="1185" w:type="dxa"/>
            <w:vMerge w:val="restart"/>
            <w:tcBorders>
              <w:top w:val="nil"/>
              <w:left w:val="single" w:sz="18" w:space="0" w:color="auto"/>
              <w:bottom w:val="single" w:sz="4" w:space="0" w:color="000000"/>
              <w:right w:val="nil"/>
            </w:tcBorders>
            <w:shd w:val="clear" w:color="auto" w:fill="auto"/>
            <w:vAlign w:val="center"/>
            <w:hideMark/>
          </w:tcPr>
          <w:p w14:paraId="479D955F"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Food Section</w:t>
            </w:r>
          </w:p>
        </w:tc>
        <w:tc>
          <w:tcPr>
            <w:tcW w:w="361" w:type="dxa"/>
            <w:gridSpan w:val="2"/>
            <w:tcBorders>
              <w:top w:val="nil"/>
              <w:left w:val="nil"/>
              <w:bottom w:val="nil"/>
              <w:right w:val="nil"/>
            </w:tcBorders>
            <w:shd w:val="clear" w:color="auto" w:fill="auto"/>
            <w:noWrap/>
            <w:vAlign w:val="bottom"/>
            <w:hideMark/>
          </w:tcPr>
          <w:p w14:paraId="03784391"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C</w:t>
            </w:r>
          </w:p>
        </w:tc>
        <w:tc>
          <w:tcPr>
            <w:tcW w:w="848" w:type="dxa"/>
            <w:gridSpan w:val="2"/>
            <w:tcBorders>
              <w:top w:val="nil"/>
              <w:left w:val="single" w:sz="4" w:space="0" w:color="auto"/>
              <w:bottom w:val="nil"/>
              <w:right w:val="nil"/>
            </w:tcBorders>
            <w:shd w:val="clear" w:color="auto" w:fill="auto"/>
            <w:noWrap/>
            <w:vAlign w:val="center"/>
            <w:hideMark/>
          </w:tcPr>
          <w:p w14:paraId="37C4D44A"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-25</w:t>
            </w:r>
          </w:p>
        </w:tc>
        <w:tc>
          <w:tcPr>
            <w:tcW w:w="1318" w:type="dxa"/>
            <w:gridSpan w:val="2"/>
            <w:tcBorders>
              <w:top w:val="nil"/>
              <w:left w:val="nil"/>
              <w:bottom w:val="nil"/>
              <w:right w:val="nil"/>
            </w:tcBorders>
            <w:shd w:val="clear" w:color="auto" w:fill="auto"/>
            <w:noWrap/>
            <w:vAlign w:val="center"/>
            <w:hideMark/>
          </w:tcPr>
          <w:p w14:paraId="1510E0B8"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(-59.4‒-3.1)</w:t>
            </w:r>
          </w:p>
        </w:tc>
        <w:tc>
          <w:tcPr>
            <w:tcW w:w="675" w:type="dxa"/>
            <w:gridSpan w:val="2"/>
            <w:vMerge w:val="restart"/>
            <w:tcBorders>
              <w:top w:val="nil"/>
              <w:left w:val="nil"/>
              <w:bottom w:val="single" w:sz="4" w:space="0" w:color="000000"/>
              <w:right w:val="single" w:sz="4" w:space="0" w:color="auto"/>
            </w:tcBorders>
            <w:shd w:val="clear" w:color="auto" w:fill="auto"/>
            <w:noWrap/>
            <w:vAlign w:val="center"/>
            <w:hideMark/>
          </w:tcPr>
          <w:p w14:paraId="4389B169"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0.098</w:t>
            </w:r>
          </w:p>
        </w:tc>
        <w:tc>
          <w:tcPr>
            <w:tcW w:w="848" w:type="dxa"/>
            <w:gridSpan w:val="2"/>
            <w:tcBorders>
              <w:top w:val="nil"/>
              <w:left w:val="nil"/>
              <w:bottom w:val="nil"/>
              <w:right w:val="nil"/>
            </w:tcBorders>
            <w:shd w:val="clear" w:color="auto" w:fill="auto"/>
            <w:noWrap/>
            <w:vAlign w:val="center"/>
            <w:hideMark/>
          </w:tcPr>
          <w:p w14:paraId="1467D653"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-50</w:t>
            </w:r>
          </w:p>
        </w:tc>
        <w:tc>
          <w:tcPr>
            <w:tcW w:w="1407" w:type="dxa"/>
            <w:gridSpan w:val="2"/>
            <w:tcBorders>
              <w:top w:val="nil"/>
              <w:left w:val="nil"/>
              <w:bottom w:val="nil"/>
              <w:right w:val="nil"/>
            </w:tcBorders>
            <w:shd w:val="clear" w:color="auto" w:fill="auto"/>
            <w:noWrap/>
            <w:vAlign w:val="center"/>
            <w:hideMark/>
          </w:tcPr>
          <w:p w14:paraId="6E95E513"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(-75‒0)</w:t>
            </w:r>
          </w:p>
        </w:tc>
        <w:tc>
          <w:tcPr>
            <w:tcW w:w="727" w:type="dxa"/>
            <w:gridSpan w:val="2"/>
            <w:vMerge w:val="restart"/>
            <w:tcBorders>
              <w:top w:val="nil"/>
              <w:left w:val="nil"/>
              <w:bottom w:val="single" w:sz="4" w:space="0" w:color="000000"/>
              <w:right w:val="single" w:sz="4" w:space="0" w:color="auto"/>
            </w:tcBorders>
            <w:shd w:val="clear" w:color="auto" w:fill="auto"/>
            <w:noWrap/>
            <w:vAlign w:val="center"/>
            <w:hideMark/>
          </w:tcPr>
          <w:p w14:paraId="0781E937"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0.034</w:t>
            </w:r>
          </w:p>
        </w:tc>
        <w:tc>
          <w:tcPr>
            <w:tcW w:w="848" w:type="dxa"/>
            <w:gridSpan w:val="2"/>
            <w:tcBorders>
              <w:top w:val="nil"/>
              <w:left w:val="nil"/>
              <w:bottom w:val="nil"/>
              <w:right w:val="nil"/>
            </w:tcBorders>
            <w:shd w:val="clear" w:color="auto" w:fill="auto"/>
            <w:noWrap/>
            <w:vAlign w:val="center"/>
            <w:hideMark/>
          </w:tcPr>
          <w:p w14:paraId="1DDC9842"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w:t>
            </w:r>
          </w:p>
        </w:tc>
        <w:tc>
          <w:tcPr>
            <w:tcW w:w="1031" w:type="dxa"/>
            <w:gridSpan w:val="2"/>
            <w:tcBorders>
              <w:top w:val="nil"/>
              <w:left w:val="nil"/>
              <w:bottom w:val="nil"/>
              <w:right w:val="nil"/>
            </w:tcBorders>
            <w:shd w:val="clear" w:color="auto" w:fill="auto"/>
            <w:noWrap/>
            <w:vAlign w:val="center"/>
            <w:hideMark/>
          </w:tcPr>
          <w:p w14:paraId="32C9D513"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(-25‒0)</w:t>
            </w:r>
          </w:p>
        </w:tc>
        <w:tc>
          <w:tcPr>
            <w:tcW w:w="675" w:type="dxa"/>
            <w:gridSpan w:val="2"/>
            <w:vMerge w:val="restart"/>
            <w:tcBorders>
              <w:top w:val="nil"/>
              <w:left w:val="nil"/>
              <w:bottom w:val="single" w:sz="4" w:space="0" w:color="000000"/>
              <w:right w:val="single" w:sz="18" w:space="0" w:color="auto"/>
            </w:tcBorders>
            <w:shd w:val="clear" w:color="auto" w:fill="auto"/>
            <w:noWrap/>
            <w:vAlign w:val="center"/>
            <w:hideMark/>
          </w:tcPr>
          <w:p w14:paraId="03FFFD1E"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0.056</w:t>
            </w:r>
          </w:p>
        </w:tc>
      </w:tr>
      <w:tr w:rsidR="00ED1DBF" w:rsidRPr="00AE055C" w14:paraId="0E5DFA59" w14:textId="77777777" w:rsidTr="00915145">
        <w:trPr>
          <w:gridAfter w:val="1"/>
          <w:wAfter w:w="318" w:type="dxa"/>
          <w:trHeight w:val="300"/>
        </w:trPr>
        <w:tc>
          <w:tcPr>
            <w:tcW w:w="1185" w:type="dxa"/>
            <w:vMerge/>
            <w:tcBorders>
              <w:top w:val="nil"/>
              <w:left w:val="single" w:sz="18" w:space="0" w:color="auto"/>
              <w:bottom w:val="single" w:sz="4" w:space="0" w:color="000000"/>
              <w:right w:val="nil"/>
            </w:tcBorders>
            <w:vAlign w:val="center"/>
            <w:hideMark/>
          </w:tcPr>
          <w:p w14:paraId="62286812" w14:textId="77777777" w:rsidR="00ED1DBF" w:rsidRPr="001342CE" w:rsidRDefault="00ED1DBF" w:rsidP="00D30DFD">
            <w:pPr>
              <w:spacing w:after="0" w:line="240" w:lineRule="auto"/>
              <w:rPr>
                <w:rFonts w:eastAsia="Times New Roman" w:cs="Times New Roman"/>
                <w:b/>
                <w:bCs/>
                <w:color w:val="000000"/>
                <w:sz w:val="20"/>
                <w:szCs w:val="20"/>
              </w:rPr>
            </w:pPr>
          </w:p>
        </w:tc>
        <w:tc>
          <w:tcPr>
            <w:tcW w:w="361" w:type="dxa"/>
            <w:gridSpan w:val="2"/>
            <w:tcBorders>
              <w:top w:val="nil"/>
              <w:left w:val="nil"/>
              <w:bottom w:val="single" w:sz="4" w:space="0" w:color="auto"/>
              <w:right w:val="nil"/>
            </w:tcBorders>
            <w:shd w:val="clear" w:color="auto" w:fill="auto"/>
            <w:noWrap/>
            <w:vAlign w:val="bottom"/>
            <w:hideMark/>
          </w:tcPr>
          <w:p w14:paraId="432D7113"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S</w:t>
            </w:r>
          </w:p>
        </w:tc>
        <w:tc>
          <w:tcPr>
            <w:tcW w:w="848" w:type="dxa"/>
            <w:gridSpan w:val="2"/>
            <w:tcBorders>
              <w:top w:val="nil"/>
              <w:left w:val="single" w:sz="4" w:space="0" w:color="auto"/>
              <w:bottom w:val="single" w:sz="4" w:space="0" w:color="auto"/>
              <w:right w:val="nil"/>
            </w:tcBorders>
            <w:shd w:val="clear" w:color="auto" w:fill="auto"/>
            <w:noWrap/>
            <w:vAlign w:val="center"/>
            <w:hideMark/>
          </w:tcPr>
          <w:p w14:paraId="4157CD61"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-6.3</w:t>
            </w:r>
          </w:p>
        </w:tc>
        <w:tc>
          <w:tcPr>
            <w:tcW w:w="1318" w:type="dxa"/>
            <w:gridSpan w:val="2"/>
            <w:tcBorders>
              <w:top w:val="nil"/>
              <w:left w:val="nil"/>
              <w:bottom w:val="single" w:sz="4" w:space="0" w:color="auto"/>
              <w:right w:val="nil"/>
            </w:tcBorders>
            <w:shd w:val="clear" w:color="auto" w:fill="auto"/>
            <w:noWrap/>
            <w:vAlign w:val="center"/>
            <w:hideMark/>
          </w:tcPr>
          <w:p w14:paraId="606ED628"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(-50‒0)</w:t>
            </w:r>
          </w:p>
        </w:tc>
        <w:tc>
          <w:tcPr>
            <w:tcW w:w="675" w:type="dxa"/>
            <w:gridSpan w:val="2"/>
            <w:vMerge/>
            <w:tcBorders>
              <w:top w:val="nil"/>
              <w:left w:val="nil"/>
              <w:bottom w:val="single" w:sz="4" w:space="0" w:color="000000"/>
              <w:right w:val="single" w:sz="4" w:space="0" w:color="auto"/>
            </w:tcBorders>
            <w:vAlign w:val="center"/>
            <w:hideMark/>
          </w:tcPr>
          <w:p w14:paraId="171AA728" w14:textId="77777777" w:rsidR="00ED1DBF" w:rsidRPr="001342CE" w:rsidRDefault="00ED1DBF" w:rsidP="00D30DFD">
            <w:pPr>
              <w:spacing w:after="0" w:line="240" w:lineRule="auto"/>
              <w:rPr>
                <w:rFonts w:eastAsia="Times New Roman" w:cs="Times New Roman"/>
                <w:color w:val="000000"/>
                <w:sz w:val="20"/>
                <w:szCs w:val="20"/>
              </w:rPr>
            </w:pPr>
          </w:p>
        </w:tc>
        <w:tc>
          <w:tcPr>
            <w:tcW w:w="848" w:type="dxa"/>
            <w:gridSpan w:val="2"/>
            <w:tcBorders>
              <w:top w:val="nil"/>
              <w:left w:val="nil"/>
              <w:bottom w:val="single" w:sz="4" w:space="0" w:color="auto"/>
              <w:right w:val="nil"/>
            </w:tcBorders>
            <w:shd w:val="clear" w:color="auto" w:fill="auto"/>
            <w:noWrap/>
            <w:vAlign w:val="center"/>
            <w:hideMark/>
          </w:tcPr>
          <w:p w14:paraId="748B6F36"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0</w:t>
            </w:r>
          </w:p>
        </w:tc>
        <w:tc>
          <w:tcPr>
            <w:tcW w:w="1407" w:type="dxa"/>
            <w:gridSpan w:val="2"/>
            <w:tcBorders>
              <w:top w:val="nil"/>
              <w:left w:val="nil"/>
              <w:bottom w:val="single" w:sz="4" w:space="0" w:color="auto"/>
              <w:right w:val="nil"/>
            </w:tcBorders>
            <w:shd w:val="clear" w:color="auto" w:fill="auto"/>
            <w:noWrap/>
            <w:vAlign w:val="center"/>
            <w:hideMark/>
          </w:tcPr>
          <w:p w14:paraId="243667F9"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(-46.9‒0)</w:t>
            </w:r>
          </w:p>
        </w:tc>
        <w:tc>
          <w:tcPr>
            <w:tcW w:w="727" w:type="dxa"/>
            <w:gridSpan w:val="2"/>
            <w:vMerge/>
            <w:tcBorders>
              <w:top w:val="nil"/>
              <w:left w:val="nil"/>
              <w:bottom w:val="single" w:sz="4" w:space="0" w:color="000000"/>
              <w:right w:val="single" w:sz="4" w:space="0" w:color="auto"/>
            </w:tcBorders>
            <w:vAlign w:val="center"/>
            <w:hideMark/>
          </w:tcPr>
          <w:p w14:paraId="563F90F3" w14:textId="77777777" w:rsidR="00ED1DBF" w:rsidRPr="001342CE" w:rsidRDefault="00ED1DBF" w:rsidP="00D30DFD">
            <w:pPr>
              <w:spacing w:after="0" w:line="240" w:lineRule="auto"/>
              <w:rPr>
                <w:rFonts w:eastAsia="Times New Roman" w:cs="Times New Roman"/>
                <w:b/>
                <w:bCs/>
                <w:color w:val="000000"/>
                <w:sz w:val="20"/>
                <w:szCs w:val="20"/>
              </w:rPr>
            </w:pPr>
          </w:p>
        </w:tc>
        <w:tc>
          <w:tcPr>
            <w:tcW w:w="848" w:type="dxa"/>
            <w:gridSpan w:val="2"/>
            <w:tcBorders>
              <w:top w:val="nil"/>
              <w:left w:val="nil"/>
              <w:bottom w:val="single" w:sz="4" w:space="0" w:color="auto"/>
              <w:right w:val="nil"/>
            </w:tcBorders>
            <w:shd w:val="clear" w:color="auto" w:fill="auto"/>
            <w:noWrap/>
            <w:vAlign w:val="center"/>
            <w:hideMark/>
          </w:tcPr>
          <w:p w14:paraId="5FA89DC8"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w:t>
            </w:r>
          </w:p>
        </w:tc>
        <w:tc>
          <w:tcPr>
            <w:tcW w:w="1031" w:type="dxa"/>
            <w:gridSpan w:val="2"/>
            <w:tcBorders>
              <w:top w:val="nil"/>
              <w:left w:val="nil"/>
              <w:bottom w:val="single" w:sz="4" w:space="0" w:color="auto"/>
              <w:right w:val="nil"/>
            </w:tcBorders>
            <w:shd w:val="clear" w:color="auto" w:fill="auto"/>
            <w:noWrap/>
            <w:vAlign w:val="center"/>
            <w:hideMark/>
          </w:tcPr>
          <w:p w14:paraId="62B9E3E3"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(0‒0)</w:t>
            </w:r>
          </w:p>
        </w:tc>
        <w:tc>
          <w:tcPr>
            <w:tcW w:w="675" w:type="dxa"/>
            <w:gridSpan w:val="2"/>
            <w:vMerge/>
            <w:tcBorders>
              <w:top w:val="nil"/>
              <w:left w:val="nil"/>
              <w:bottom w:val="single" w:sz="4" w:space="0" w:color="000000"/>
              <w:right w:val="single" w:sz="18" w:space="0" w:color="auto"/>
            </w:tcBorders>
            <w:vAlign w:val="center"/>
            <w:hideMark/>
          </w:tcPr>
          <w:p w14:paraId="10685A54" w14:textId="77777777" w:rsidR="00ED1DBF" w:rsidRPr="001342CE" w:rsidRDefault="00ED1DBF" w:rsidP="00D30DFD">
            <w:pPr>
              <w:spacing w:after="0" w:line="240" w:lineRule="auto"/>
              <w:rPr>
                <w:rFonts w:eastAsia="Times New Roman" w:cs="Times New Roman"/>
                <w:color w:val="000000"/>
                <w:sz w:val="20"/>
                <w:szCs w:val="20"/>
              </w:rPr>
            </w:pPr>
          </w:p>
        </w:tc>
      </w:tr>
      <w:tr w:rsidR="00ED1DBF" w:rsidRPr="00AE055C" w14:paraId="681713EA" w14:textId="77777777" w:rsidTr="00915145">
        <w:trPr>
          <w:gridAfter w:val="1"/>
          <w:wAfter w:w="318" w:type="dxa"/>
          <w:trHeight w:val="300"/>
        </w:trPr>
        <w:tc>
          <w:tcPr>
            <w:tcW w:w="1185" w:type="dxa"/>
            <w:vMerge w:val="restart"/>
            <w:tcBorders>
              <w:top w:val="nil"/>
              <w:left w:val="single" w:sz="18" w:space="0" w:color="auto"/>
              <w:bottom w:val="single" w:sz="4" w:space="0" w:color="000000"/>
              <w:right w:val="nil"/>
            </w:tcBorders>
            <w:shd w:val="clear" w:color="000000" w:fill="DCE6F1"/>
            <w:vAlign w:val="center"/>
            <w:hideMark/>
          </w:tcPr>
          <w:p w14:paraId="4659D3CA"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 xml:space="preserve">Eating Duration </w:t>
            </w:r>
          </w:p>
        </w:tc>
        <w:tc>
          <w:tcPr>
            <w:tcW w:w="361" w:type="dxa"/>
            <w:gridSpan w:val="2"/>
            <w:tcBorders>
              <w:top w:val="nil"/>
              <w:left w:val="nil"/>
              <w:bottom w:val="nil"/>
              <w:right w:val="nil"/>
            </w:tcBorders>
            <w:shd w:val="clear" w:color="000000" w:fill="DCE6F1"/>
            <w:noWrap/>
            <w:vAlign w:val="bottom"/>
            <w:hideMark/>
          </w:tcPr>
          <w:p w14:paraId="7F1ED3B5"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C</w:t>
            </w:r>
          </w:p>
        </w:tc>
        <w:tc>
          <w:tcPr>
            <w:tcW w:w="848" w:type="dxa"/>
            <w:gridSpan w:val="2"/>
            <w:tcBorders>
              <w:top w:val="nil"/>
              <w:left w:val="single" w:sz="4" w:space="0" w:color="auto"/>
              <w:bottom w:val="nil"/>
              <w:right w:val="nil"/>
            </w:tcBorders>
            <w:shd w:val="clear" w:color="000000" w:fill="DCE6F1"/>
            <w:noWrap/>
            <w:vAlign w:val="center"/>
            <w:hideMark/>
          </w:tcPr>
          <w:p w14:paraId="5CACB319"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-25</w:t>
            </w:r>
          </w:p>
        </w:tc>
        <w:tc>
          <w:tcPr>
            <w:tcW w:w="1318" w:type="dxa"/>
            <w:gridSpan w:val="2"/>
            <w:tcBorders>
              <w:top w:val="nil"/>
              <w:left w:val="nil"/>
              <w:bottom w:val="nil"/>
              <w:right w:val="nil"/>
            </w:tcBorders>
            <w:shd w:val="clear" w:color="000000" w:fill="DCE6F1"/>
            <w:noWrap/>
            <w:vAlign w:val="center"/>
            <w:hideMark/>
          </w:tcPr>
          <w:p w14:paraId="685FB918"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(-71.9‒0)</w:t>
            </w:r>
          </w:p>
        </w:tc>
        <w:tc>
          <w:tcPr>
            <w:tcW w:w="675" w:type="dxa"/>
            <w:gridSpan w:val="2"/>
            <w:vMerge w:val="restart"/>
            <w:tcBorders>
              <w:top w:val="nil"/>
              <w:left w:val="nil"/>
              <w:bottom w:val="single" w:sz="4" w:space="0" w:color="000000"/>
              <w:right w:val="single" w:sz="4" w:space="0" w:color="auto"/>
            </w:tcBorders>
            <w:shd w:val="clear" w:color="000000" w:fill="DCE6F1"/>
            <w:noWrap/>
            <w:vAlign w:val="center"/>
            <w:hideMark/>
          </w:tcPr>
          <w:p w14:paraId="3B4CC6F4"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0.967</w:t>
            </w:r>
          </w:p>
        </w:tc>
        <w:tc>
          <w:tcPr>
            <w:tcW w:w="848" w:type="dxa"/>
            <w:gridSpan w:val="2"/>
            <w:tcBorders>
              <w:top w:val="nil"/>
              <w:left w:val="nil"/>
              <w:bottom w:val="nil"/>
              <w:right w:val="nil"/>
            </w:tcBorders>
            <w:shd w:val="clear" w:color="000000" w:fill="DCE6F1"/>
            <w:noWrap/>
            <w:vAlign w:val="center"/>
            <w:hideMark/>
          </w:tcPr>
          <w:p w14:paraId="0B795470"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-50</w:t>
            </w:r>
          </w:p>
        </w:tc>
        <w:tc>
          <w:tcPr>
            <w:tcW w:w="1407" w:type="dxa"/>
            <w:gridSpan w:val="2"/>
            <w:tcBorders>
              <w:top w:val="nil"/>
              <w:left w:val="nil"/>
              <w:bottom w:val="nil"/>
              <w:right w:val="nil"/>
            </w:tcBorders>
            <w:shd w:val="clear" w:color="000000" w:fill="DCE6F1"/>
            <w:noWrap/>
            <w:vAlign w:val="center"/>
            <w:hideMark/>
          </w:tcPr>
          <w:p w14:paraId="48A8FF57"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(-75‒-12.5)</w:t>
            </w:r>
          </w:p>
        </w:tc>
        <w:tc>
          <w:tcPr>
            <w:tcW w:w="727" w:type="dxa"/>
            <w:gridSpan w:val="2"/>
            <w:vMerge w:val="restart"/>
            <w:tcBorders>
              <w:top w:val="nil"/>
              <w:left w:val="nil"/>
              <w:bottom w:val="single" w:sz="4" w:space="0" w:color="000000"/>
              <w:right w:val="single" w:sz="4" w:space="0" w:color="auto"/>
            </w:tcBorders>
            <w:shd w:val="clear" w:color="000000" w:fill="DCE6F1"/>
            <w:noWrap/>
            <w:vAlign w:val="center"/>
            <w:hideMark/>
          </w:tcPr>
          <w:p w14:paraId="16587E5B"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0.435</w:t>
            </w:r>
          </w:p>
        </w:tc>
        <w:tc>
          <w:tcPr>
            <w:tcW w:w="848" w:type="dxa"/>
            <w:gridSpan w:val="2"/>
            <w:tcBorders>
              <w:top w:val="nil"/>
              <w:left w:val="nil"/>
              <w:bottom w:val="nil"/>
              <w:right w:val="nil"/>
            </w:tcBorders>
            <w:shd w:val="clear" w:color="000000" w:fill="DCE6F1"/>
            <w:noWrap/>
            <w:vAlign w:val="center"/>
            <w:hideMark/>
          </w:tcPr>
          <w:p w14:paraId="5BF4230D"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-12.5</w:t>
            </w:r>
          </w:p>
        </w:tc>
        <w:tc>
          <w:tcPr>
            <w:tcW w:w="1031" w:type="dxa"/>
            <w:gridSpan w:val="2"/>
            <w:tcBorders>
              <w:top w:val="nil"/>
              <w:left w:val="nil"/>
              <w:bottom w:val="nil"/>
              <w:right w:val="nil"/>
            </w:tcBorders>
            <w:shd w:val="clear" w:color="000000" w:fill="DCE6F1"/>
            <w:noWrap/>
            <w:vAlign w:val="center"/>
            <w:hideMark/>
          </w:tcPr>
          <w:p w14:paraId="3FF19A31"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(-25‒0)</w:t>
            </w:r>
          </w:p>
        </w:tc>
        <w:tc>
          <w:tcPr>
            <w:tcW w:w="675" w:type="dxa"/>
            <w:gridSpan w:val="2"/>
            <w:vMerge w:val="restart"/>
            <w:tcBorders>
              <w:top w:val="nil"/>
              <w:left w:val="nil"/>
              <w:bottom w:val="single" w:sz="4" w:space="0" w:color="000000"/>
              <w:right w:val="single" w:sz="18" w:space="0" w:color="auto"/>
            </w:tcBorders>
            <w:shd w:val="clear" w:color="000000" w:fill="DCE6F1"/>
            <w:noWrap/>
            <w:vAlign w:val="center"/>
            <w:hideMark/>
          </w:tcPr>
          <w:p w14:paraId="32B515EE"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0.001</w:t>
            </w:r>
          </w:p>
        </w:tc>
      </w:tr>
      <w:tr w:rsidR="00ED1DBF" w:rsidRPr="00AE055C" w14:paraId="4A76DEC5" w14:textId="77777777" w:rsidTr="00915145">
        <w:trPr>
          <w:gridAfter w:val="1"/>
          <w:wAfter w:w="318" w:type="dxa"/>
          <w:trHeight w:val="300"/>
        </w:trPr>
        <w:tc>
          <w:tcPr>
            <w:tcW w:w="1185" w:type="dxa"/>
            <w:vMerge/>
            <w:tcBorders>
              <w:top w:val="nil"/>
              <w:left w:val="single" w:sz="18" w:space="0" w:color="auto"/>
              <w:bottom w:val="single" w:sz="18" w:space="0" w:color="auto"/>
              <w:right w:val="nil"/>
            </w:tcBorders>
            <w:vAlign w:val="center"/>
            <w:hideMark/>
          </w:tcPr>
          <w:p w14:paraId="5863EAA6" w14:textId="77777777" w:rsidR="00ED1DBF" w:rsidRPr="001342CE" w:rsidRDefault="00ED1DBF" w:rsidP="00D30DFD">
            <w:pPr>
              <w:spacing w:after="0" w:line="240" w:lineRule="auto"/>
              <w:rPr>
                <w:rFonts w:eastAsia="Times New Roman" w:cs="Times New Roman"/>
                <w:b/>
                <w:bCs/>
                <w:color w:val="000000"/>
                <w:sz w:val="20"/>
                <w:szCs w:val="20"/>
              </w:rPr>
            </w:pPr>
          </w:p>
        </w:tc>
        <w:tc>
          <w:tcPr>
            <w:tcW w:w="361" w:type="dxa"/>
            <w:gridSpan w:val="2"/>
            <w:tcBorders>
              <w:top w:val="nil"/>
              <w:left w:val="nil"/>
              <w:bottom w:val="single" w:sz="18" w:space="0" w:color="auto"/>
              <w:right w:val="nil"/>
            </w:tcBorders>
            <w:shd w:val="clear" w:color="000000" w:fill="DCE6F1"/>
            <w:noWrap/>
            <w:vAlign w:val="center"/>
            <w:hideMark/>
          </w:tcPr>
          <w:p w14:paraId="0C2DB8B3"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S</w:t>
            </w:r>
          </w:p>
        </w:tc>
        <w:tc>
          <w:tcPr>
            <w:tcW w:w="848" w:type="dxa"/>
            <w:gridSpan w:val="2"/>
            <w:tcBorders>
              <w:top w:val="nil"/>
              <w:left w:val="single" w:sz="4" w:space="0" w:color="auto"/>
              <w:bottom w:val="single" w:sz="18" w:space="0" w:color="auto"/>
              <w:right w:val="nil"/>
            </w:tcBorders>
            <w:shd w:val="clear" w:color="000000" w:fill="DCE6F1"/>
            <w:noWrap/>
            <w:vAlign w:val="center"/>
            <w:hideMark/>
          </w:tcPr>
          <w:p w14:paraId="51136F10"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-25</w:t>
            </w:r>
          </w:p>
        </w:tc>
        <w:tc>
          <w:tcPr>
            <w:tcW w:w="1318" w:type="dxa"/>
            <w:gridSpan w:val="2"/>
            <w:tcBorders>
              <w:top w:val="nil"/>
              <w:left w:val="nil"/>
              <w:bottom w:val="single" w:sz="18" w:space="0" w:color="auto"/>
              <w:right w:val="nil"/>
            </w:tcBorders>
            <w:shd w:val="clear" w:color="000000" w:fill="DCE6F1"/>
            <w:noWrap/>
            <w:vAlign w:val="center"/>
            <w:hideMark/>
          </w:tcPr>
          <w:p w14:paraId="71988FF4"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(-62.5‒0)</w:t>
            </w:r>
          </w:p>
        </w:tc>
        <w:tc>
          <w:tcPr>
            <w:tcW w:w="675" w:type="dxa"/>
            <w:gridSpan w:val="2"/>
            <w:vMerge/>
            <w:tcBorders>
              <w:top w:val="nil"/>
              <w:left w:val="nil"/>
              <w:bottom w:val="single" w:sz="18" w:space="0" w:color="auto"/>
              <w:right w:val="single" w:sz="4" w:space="0" w:color="auto"/>
            </w:tcBorders>
            <w:vAlign w:val="center"/>
            <w:hideMark/>
          </w:tcPr>
          <w:p w14:paraId="04D76700" w14:textId="77777777" w:rsidR="00ED1DBF" w:rsidRPr="001342CE" w:rsidRDefault="00ED1DBF" w:rsidP="00D30DFD">
            <w:pPr>
              <w:spacing w:after="0" w:line="240" w:lineRule="auto"/>
              <w:rPr>
                <w:rFonts w:eastAsia="Times New Roman" w:cs="Times New Roman"/>
                <w:color w:val="000000"/>
                <w:sz w:val="20"/>
                <w:szCs w:val="20"/>
              </w:rPr>
            </w:pPr>
          </w:p>
        </w:tc>
        <w:tc>
          <w:tcPr>
            <w:tcW w:w="848" w:type="dxa"/>
            <w:gridSpan w:val="2"/>
            <w:tcBorders>
              <w:top w:val="nil"/>
              <w:left w:val="nil"/>
              <w:bottom w:val="single" w:sz="18" w:space="0" w:color="auto"/>
              <w:right w:val="nil"/>
            </w:tcBorders>
            <w:shd w:val="clear" w:color="000000" w:fill="DCE6F1"/>
            <w:noWrap/>
            <w:vAlign w:val="center"/>
            <w:hideMark/>
          </w:tcPr>
          <w:p w14:paraId="56971914"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-25</w:t>
            </w:r>
          </w:p>
        </w:tc>
        <w:tc>
          <w:tcPr>
            <w:tcW w:w="1407" w:type="dxa"/>
            <w:gridSpan w:val="2"/>
            <w:tcBorders>
              <w:top w:val="nil"/>
              <w:left w:val="nil"/>
              <w:bottom w:val="single" w:sz="18" w:space="0" w:color="auto"/>
              <w:right w:val="nil"/>
            </w:tcBorders>
            <w:shd w:val="clear" w:color="000000" w:fill="DCE6F1"/>
            <w:noWrap/>
            <w:vAlign w:val="center"/>
            <w:hideMark/>
          </w:tcPr>
          <w:p w14:paraId="7DAA094D" w14:textId="77777777" w:rsidR="00ED1DBF" w:rsidRPr="001342CE" w:rsidRDefault="00ED1DBF" w:rsidP="00D30DFD">
            <w:pPr>
              <w:spacing w:after="0" w:line="240" w:lineRule="auto"/>
              <w:jc w:val="center"/>
              <w:rPr>
                <w:rFonts w:eastAsia="Times New Roman" w:cs="Times New Roman"/>
                <w:color w:val="000000"/>
                <w:sz w:val="20"/>
                <w:szCs w:val="20"/>
              </w:rPr>
            </w:pPr>
            <w:r w:rsidRPr="001342CE">
              <w:rPr>
                <w:rFonts w:eastAsia="Times New Roman" w:cs="Times New Roman"/>
                <w:color w:val="000000"/>
                <w:sz w:val="20"/>
                <w:szCs w:val="20"/>
              </w:rPr>
              <w:t>(-71.9‒0)</w:t>
            </w:r>
          </w:p>
        </w:tc>
        <w:tc>
          <w:tcPr>
            <w:tcW w:w="727" w:type="dxa"/>
            <w:gridSpan w:val="2"/>
            <w:vMerge/>
            <w:tcBorders>
              <w:top w:val="nil"/>
              <w:left w:val="nil"/>
              <w:bottom w:val="single" w:sz="18" w:space="0" w:color="auto"/>
              <w:right w:val="single" w:sz="4" w:space="0" w:color="auto"/>
            </w:tcBorders>
            <w:vAlign w:val="center"/>
            <w:hideMark/>
          </w:tcPr>
          <w:p w14:paraId="7F33C488" w14:textId="77777777" w:rsidR="00ED1DBF" w:rsidRPr="001342CE" w:rsidRDefault="00ED1DBF" w:rsidP="00D30DFD">
            <w:pPr>
              <w:spacing w:after="0" w:line="240" w:lineRule="auto"/>
              <w:rPr>
                <w:rFonts w:eastAsia="Times New Roman" w:cs="Times New Roman"/>
                <w:color w:val="000000"/>
                <w:sz w:val="20"/>
                <w:szCs w:val="20"/>
              </w:rPr>
            </w:pPr>
          </w:p>
        </w:tc>
        <w:tc>
          <w:tcPr>
            <w:tcW w:w="848" w:type="dxa"/>
            <w:gridSpan w:val="2"/>
            <w:tcBorders>
              <w:top w:val="nil"/>
              <w:left w:val="nil"/>
              <w:bottom w:val="single" w:sz="18" w:space="0" w:color="auto"/>
              <w:right w:val="nil"/>
            </w:tcBorders>
            <w:shd w:val="clear" w:color="000000" w:fill="DCE6F1"/>
            <w:noWrap/>
            <w:vAlign w:val="center"/>
            <w:hideMark/>
          </w:tcPr>
          <w:p w14:paraId="00079577"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0</w:t>
            </w:r>
          </w:p>
        </w:tc>
        <w:tc>
          <w:tcPr>
            <w:tcW w:w="1031" w:type="dxa"/>
            <w:gridSpan w:val="2"/>
            <w:tcBorders>
              <w:top w:val="nil"/>
              <w:left w:val="nil"/>
              <w:bottom w:val="single" w:sz="18" w:space="0" w:color="auto"/>
              <w:right w:val="nil"/>
            </w:tcBorders>
            <w:shd w:val="clear" w:color="000000" w:fill="DCE6F1"/>
            <w:noWrap/>
            <w:vAlign w:val="center"/>
            <w:hideMark/>
          </w:tcPr>
          <w:p w14:paraId="3DFD93AE" w14:textId="77777777" w:rsidR="00ED1DBF" w:rsidRPr="001342CE" w:rsidRDefault="00ED1DBF" w:rsidP="00D30DFD">
            <w:pPr>
              <w:spacing w:after="0" w:line="240" w:lineRule="auto"/>
              <w:jc w:val="center"/>
              <w:rPr>
                <w:rFonts w:eastAsia="Times New Roman" w:cs="Times New Roman"/>
                <w:b/>
                <w:bCs/>
                <w:color w:val="000000"/>
                <w:sz w:val="20"/>
                <w:szCs w:val="20"/>
              </w:rPr>
            </w:pPr>
            <w:r w:rsidRPr="001342CE">
              <w:rPr>
                <w:rFonts w:eastAsia="Times New Roman" w:cs="Times New Roman"/>
                <w:b/>
                <w:bCs/>
                <w:color w:val="000000"/>
                <w:sz w:val="20"/>
                <w:szCs w:val="20"/>
              </w:rPr>
              <w:t>(-12.5‒0)</w:t>
            </w:r>
          </w:p>
        </w:tc>
        <w:tc>
          <w:tcPr>
            <w:tcW w:w="675" w:type="dxa"/>
            <w:gridSpan w:val="2"/>
            <w:vMerge/>
            <w:tcBorders>
              <w:top w:val="nil"/>
              <w:left w:val="nil"/>
              <w:bottom w:val="single" w:sz="18" w:space="0" w:color="auto"/>
              <w:right w:val="single" w:sz="18" w:space="0" w:color="auto"/>
            </w:tcBorders>
            <w:vAlign w:val="center"/>
            <w:hideMark/>
          </w:tcPr>
          <w:p w14:paraId="44173C73" w14:textId="77777777" w:rsidR="00ED1DBF" w:rsidRPr="001342CE" w:rsidRDefault="00ED1DBF" w:rsidP="00D30DFD">
            <w:pPr>
              <w:spacing w:after="0" w:line="240" w:lineRule="auto"/>
              <w:rPr>
                <w:rFonts w:eastAsia="Times New Roman" w:cs="Times New Roman"/>
                <w:b/>
                <w:bCs/>
                <w:color w:val="000000"/>
                <w:sz w:val="20"/>
                <w:szCs w:val="20"/>
              </w:rPr>
            </w:pPr>
          </w:p>
        </w:tc>
      </w:tr>
      <w:tr w:rsidR="00ED1DBF" w:rsidRPr="00AE055C" w14:paraId="1E2BA016" w14:textId="77777777" w:rsidTr="00915145">
        <w:trPr>
          <w:gridAfter w:val="1"/>
          <w:wAfter w:w="318" w:type="dxa"/>
          <w:trHeight w:val="87"/>
        </w:trPr>
        <w:tc>
          <w:tcPr>
            <w:tcW w:w="9923" w:type="dxa"/>
            <w:gridSpan w:val="21"/>
            <w:tcBorders>
              <w:top w:val="nil"/>
              <w:left w:val="nil"/>
              <w:bottom w:val="nil"/>
              <w:right w:val="nil"/>
            </w:tcBorders>
            <w:shd w:val="clear" w:color="auto" w:fill="auto"/>
            <w:noWrap/>
            <w:vAlign w:val="bottom"/>
            <w:hideMark/>
          </w:tcPr>
          <w:p w14:paraId="4D4D00FC" w14:textId="77777777" w:rsidR="00ED1DBF" w:rsidRPr="00AE055C" w:rsidRDefault="00ED1DBF" w:rsidP="00D30DFD">
            <w:pPr>
              <w:spacing w:after="0" w:line="240" w:lineRule="auto"/>
              <w:rPr>
                <w:rFonts w:ascii="Calibri" w:eastAsia="Times New Roman" w:hAnsi="Calibri" w:cs="Times New Roman"/>
                <w:i/>
                <w:iCs/>
                <w:color w:val="000000"/>
                <w:sz w:val="20"/>
                <w:szCs w:val="20"/>
              </w:rPr>
            </w:pPr>
            <w:r w:rsidRPr="00AE055C">
              <w:rPr>
                <w:rFonts w:ascii="Calibri" w:eastAsia="Times New Roman" w:hAnsi="Calibri" w:cs="Times New Roman"/>
                <w:i/>
                <w:iCs/>
                <w:color w:val="000000"/>
                <w:sz w:val="20"/>
                <w:szCs w:val="20"/>
              </w:rPr>
              <w:t>IQR: Interquartile range</w:t>
            </w:r>
            <w:r>
              <w:rPr>
                <w:rFonts w:ascii="Calibri" w:eastAsia="Times New Roman" w:hAnsi="Calibri" w:cs="Times New Roman"/>
                <w:i/>
                <w:iCs/>
                <w:color w:val="000000"/>
                <w:sz w:val="20"/>
                <w:szCs w:val="20"/>
              </w:rPr>
              <w:t xml:space="preserve"> (Q1-Q3)</w:t>
            </w:r>
            <w:r w:rsidRPr="001342CE">
              <w:rPr>
                <w:rFonts w:eastAsia="Times New Roman" w:cs="Times New Roman"/>
                <w:i/>
                <w:iCs/>
                <w:color w:val="000000"/>
                <w:sz w:val="20"/>
                <w:szCs w:val="20"/>
              </w:rPr>
              <w:t xml:space="preserve">  </w:t>
            </w:r>
            <w:r>
              <w:rPr>
                <w:rFonts w:eastAsia="Times New Roman" w:cs="Times New Roman"/>
                <w:i/>
                <w:iCs/>
                <w:color w:val="000000"/>
                <w:sz w:val="20"/>
                <w:szCs w:val="20"/>
              </w:rPr>
              <w:t xml:space="preserve"> C:Control arm    S:Steroid arm</w:t>
            </w:r>
          </w:p>
        </w:tc>
      </w:tr>
      <w:tr w:rsidR="00ED1DBF" w:rsidRPr="00260248" w14:paraId="62C0EACE" w14:textId="77777777" w:rsidTr="00915145">
        <w:trPr>
          <w:trHeight w:val="300"/>
        </w:trPr>
        <w:tc>
          <w:tcPr>
            <w:tcW w:w="10241" w:type="dxa"/>
            <w:gridSpan w:val="22"/>
            <w:tcBorders>
              <w:top w:val="nil"/>
              <w:left w:val="nil"/>
              <w:bottom w:val="single" w:sz="18" w:space="0" w:color="auto"/>
              <w:right w:val="nil"/>
            </w:tcBorders>
            <w:shd w:val="clear" w:color="auto" w:fill="auto"/>
            <w:noWrap/>
            <w:vAlign w:val="bottom"/>
            <w:hideMark/>
          </w:tcPr>
          <w:p w14:paraId="5350EDD5" w14:textId="3BE9D8DC" w:rsidR="00ED1DBF" w:rsidRPr="00260248" w:rsidRDefault="00ED1DBF" w:rsidP="00D30DFD">
            <w:pPr>
              <w:spacing w:after="0" w:line="240" w:lineRule="auto"/>
              <w:rPr>
                <w:rFonts w:ascii="Calibri" w:eastAsia="Times New Roman" w:hAnsi="Calibri" w:cs="Times New Roman"/>
                <w:b/>
                <w:bCs/>
                <w:color w:val="000000"/>
                <w:sz w:val="20"/>
                <w:szCs w:val="20"/>
              </w:rPr>
            </w:pPr>
            <w:r w:rsidRPr="001342CE">
              <w:rPr>
                <w:rFonts w:eastAsia="Times New Roman" w:cs="Times New Roman"/>
                <w:b/>
                <w:bCs/>
                <w:color w:val="000000"/>
                <w:sz w:val="20"/>
                <w:szCs w:val="20"/>
              </w:rPr>
              <w:lastRenderedPageBreak/>
              <w:t xml:space="preserve">Table </w:t>
            </w:r>
            <w:r>
              <w:rPr>
                <w:rFonts w:eastAsia="Times New Roman" w:cs="Times New Roman"/>
                <w:b/>
                <w:bCs/>
                <w:color w:val="000000"/>
                <w:sz w:val="20"/>
                <w:szCs w:val="20"/>
              </w:rPr>
              <w:t>5</w:t>
            </w:r>
            <w:r w:rsidRPr="001342CE">
              <w:rPr>
                <w:rFonts w:eastAsia="Times New Roman" w:cs="Times New Roman"/>
                <w:b/>
                <w:bCs/>
                <w:color w:val="000000"/>
                <w:sz w:val="20"/>
                <w:szCs w:val="20"/>
              </w:rPr>
              <w:t xml:space="preserve">: </w:t>
            </w:r>
            <w:r>
              <w:rPr>
                <w:rFonts w:eastAsia="Times New Roman" w:cs="Times New Roman"/>
                <w:b/>
                <w:bCs/>
                <w:color w:val="000000"/>
                <w:sz w:val="20"/>
                <w:szCs w:val="20"/>
              </w:rPr>
              <w:t>Comparison of the change in EAST-10 scores from</w:t>
            </w:r>
            <w:r w:rsidR="00C651CA">
              <w:rPr>
                <w:rFonts w:eastAsia="Times New Roman" w:cs="Times New Roman"/>
                <w:b/>
                <w:bCs/>
                <w:color w:val="000000"/>
                <w:sz w:val="20"/>
                <w:szCs w:val="20"/>
              </w:rPr>
              <w:t xml:space="preserve"> the</w:t>
            </w:r>
            <w:r>
              <w:rPr>
                <w:rFonts w:eastAsia="Times New Roman" w:cs="Times New Roman"/>
                <w:b/>
                <w:bCs/>
                <w:color w:val="000000"/>
                <w:sz w:val="20"/>
                <w:szCs w:val="20"/>
              </w:rPr>
              <w:t xml:space="preserve"> baseline (i.e. pre-op)</w:t>
            </w:r>
          </w:p>
        </w:tc>
      </w:tr>
      <w:tr w:rsidR="00ED1DBF" w:rsidRPr="00260248" w14:paraId="5DEC55A9" w14:textId="77777777" w:rsidTr="00915145">
        <w:trPr>
          <w:trHeight w:val="300"/>
        </w:trPr>
        <w:tc>
          <w:tcPr>
            <w:tcW w:w="1503" w:type="dxa"/>
            <w:gridSpan w:val="2"/>
            <w:vMerge w:val="restart"/>
            <w:tcBorders>
              <w:top w:val="single" w:sz="18" w:space="0" w:color="auto"/>
              <w:left w:val="single" w:sz="18" w:space="0" w:color="auto"/>
              <w:bottom w:val="single" w:sz="4" w:space="0" w:color="000000"/>
              <w:right w:val="nil"/>
            </w:tcBorders>
            <w:shd w:val="clear" w:color="auto" w:fill="auto"/>
            <w:vAlign w:val="center"/>
            <w:hideMark/>
          </w:tcPr>
          <w:p w14:paraId="1DFCC64B" w14:textId="77777777" w:rsidR="00ED1DBF" w:rsidRPr="00260248" w:rsidRDefault="00ED1DBF" w:rsidP="00D30DFD">
            <w:pPr>
              <w:spacing w:after="0" w:line="240" w:lineRule="auto"/>
              <w:jc w:val="center"/>
              <w:rPr>
                <w:rFonts w:ascii="Calibri" w:eastAsia="Times New Roman" w:hAnsi="Calibri" w:cs="Times New Roman"/>
                <w:b/>
                <w:bCs/>
                <w:color w:val="000000"/>
                <w:sz w:val="20"/>
                <w:szCs w:val="20"/>
              </w:rPr>
            </w:pPr>
          </w:p>
        </w:tc>
        <w:tc>
          <w:tcPr>
            <w:tcW w:w="361" w:type="dxa"/>
            <w:gridSpan w:val="2"/>
            <w:vMerge w:val="restart"/>
            <w:tcBorders>
              <w:top w:val="single" w:sz="18" w:space="0" w:color="auto"/>
              <w:left w:val="nil"/>
              <w:bottom w:val="single" w:sz="4" w:space="0" w:color="000000"/>
              <w:right w:val="nil"/>
            </w:tcBorders>
            <w:shd w:val="clear" w:color="auto" w:fill="auto"/>
            <w:noWrap/>
            <w:vAlign w:val="center"/>
            <w:hideMark/>
          </w:tcPr>
          <w:p w14:paraId="054FDC7A" w14:textId="77777777" w:rsidR="00ED1DBF" w:rsidRPr="00260248" w:rsidRDefault="00ED1DBF" w:rsidP="00D30DFD">
            <w:pPr>
              <w:spacing w:after="0" w:line="240" w:lineRule="auto"/>
              <w:jc w:val="center"/>
              <w:rPr>
                <w:rFonts w:ascii="Calibri" w:eastAsia="Times New Roman" w:hAnsi="Calibri" w:cs="Times New Roman"/>
                <w:b/>
                <w:bCs/>
                <w:color w:val="000000"/>
                <w:sz w:val="20"/>
                <w:szCs w:val="20"/>
              </w:rPr>
            </w:pPr>
            <w:r w:rsidRPr="00260248">
              <w:rPr>
                <w:rFonts w:ascii="Calibri" w:eastAsia="Times New Roman" w:hAnsi="Calibri" w:cs="Times New Roman"/>
                <w:b/>
                <w:bCs/>
                <w:color w:val="000000"/>
                <w:sz w:val="20"/>
                <w:szCs w:val="20"/>
              </w:rPr>
              <w:t> </w:t>
            </w:r>
          </w:p>
        </w:tc>
        <w:tc>
          <w:tcPr>
            <w:tcW w:w="2841" w:type="dxa"/>
            <w:gridSpan w:val="6"/>
            <w:tcBorders>
              <w:top w:val="single" w:sz="18" w:space="0" w:color="auto"/>
              <w:left w:val="single" w:sz="4" w:space="0" w:color="auto"/>
              <w:bottom w:val="nil"/>
              <w:right w:val="single" w:sz="4" w:space="0" w:color="000000"/>
            </w:tcBorders>
            <w:shd w:val="clear" w:color="auto" w:fill="auto"/>
            <w:noWrap/>
            <w:vAlign w:val="center"/>
            <w:hideMark/>
          </w:tcPr>
          <w:p w14:paraId="63C9F4C2"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b/>
                <w:bCs/>
                <w:color w:val="000000"/>
                <w:sz w:val="20"/>
                <w:szCs w:val="20"/>
              </w:rPr>
              <w:t xml:space="preserve">POD1 </w:t>
            </w:r>
            <w:r w:rsidRPr="00260248">
              <w:rPr>
                <w:rFonts w:ascii="Calibri" w:eastAsia="Times New Roman" w:hAnsi="Calibri" w:cs="Times New Roman"/>
                <w:color w:val="000000"/>
                <w:sz w:val="20"/>
                <w:szCs w:val="20"/>
              </w:rPr>
              <w:t>( C N=28, S N=28)</w:t>
            </w:r>
          </w:p>
        </w:tc>
        <w:tc>
          <w:tcPr>
            <w:tcW w:w="2982" w:type="dxa"/>
            <w:gridSpan w:val="6"/>
            <w:tcBorders>
              <w:top w:val="single" w:sz="18" w:space="0" w:color="auto"/>
              <w:left w:val="nil"/>
              <w:bottom w:val="nil"/>
              <w:right w:val="single" w:sz="4" w:space="0" w:color="000000"/>
            </w:tcBorders>
            <w:shd w:val="clear" w:color="auto" w:fill="auto"/>
            <w:noWrap/>
            <w:vAlign w:val="center"/>
            <w:hideMark/>
          </w:tcPr>
          <w:p w14:paraId="55BF9868"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b/>
                <w:bCs/>
                <w:color w:val="000000"/>
                <w:sz w:val="20"/>
                <w:szCs w:val="20"/>
              </w:rPr>
              <w:t>POD2</w:t>
            </w:r>
            <w:r w:rsidRPr="00260248">
              <w:rPr>
                <w:rFonts w:ascii="Calibri" w:eastAsia="Times New Roman" w:hAnsi="Calibri" w:cs="Times New Roman"/>
                <w:color w:val="000000"/>
                <w:sz w:val="20"/>
                <w:szCs w:val="20"/>
              </w:rPr>
              <w:t xml:space="preserve"> (C N=25, S N=24)</w:t>
            </w:r>
          </w:p>
        </w:tc>
        <w:tc>
          <w:tcPr>
            <w:tcW w:w="2554" w:type="dxa"/>
            <w:gridSpan w:val="6"/>
            <w:tcBorders>
              <w:top w:val="single" w:sz="18" w:space="0" w:color="auto"/>
              <w:left w:val="nil"/>
              <w:bottom w:val="nil"/>
              <w:right w:val="single" w:sz="18" w:space="0" w:color="auto"/>
            </w:tcBorders>
            <w:shd w:val="clear" w:color="auto" w:fill="auto"/>
            <w:noWrap/>
            <w:vAlign w:val="center"/>
            <w:hideMark/>
          </w:tcPr>
          <w:p w14:paraId="3246B722"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b/>
                <w:bCs/>
                <w:color w:val="000000"/>
                <w:sz w:val="20"/>
                <w:szCs w:val="20"/>
              </w:rPr>
              <w:t>M1</w:t>
            </w:r>
            <w:r w:rsidRPr="00260248">
              <w:rPr>
                <w:rFonts w:ascii="Calibri" w:eastAsia="Times New Roman" w:hAnsi="Calibri" w:cs="Times New Roman"/>
                <w:color w:val="000000"/>
                <w:sz w:val="20"/>
                <w:szCs w:val="20"/>
              </w:rPr>
              <w:t xml:space="preserve"> (C N=27, S N=28)</w:t>
            </w:r>
          </w:p>
        </w:tc>
      </w:tr>
      <w:tr w:rsidR="00ED1DBF" w:rsidRPr="00260248" w14:paraId="3095010B" w14:textId="77777777" w:rsidTr="00915145">
        <w:trPr>
          <w:trHeight w:val="300"/>
        </w:trPr>
        <w:tc>
          <w:tcPr>
            <w:tcW w:w="1503" w:type="dxa"/>
            <w:gridSpan w:val="2"/>
            <w:vMerge/>
            <w:tcBorders>
              <w:top w:val="single" w:sz="4" w:space="0" w:color="auto"/>
              <w:left w:val="single" w:sz="18" w:space="0" w:color="auto"/>
              <w:bottom w:val="single" w:sz="18" w:space="0" w:color="auto"/>
              <w:right w:val="nil"/>
            </w:tcBorders>
            <w:vAlign w:val="center"/>
            <w:hideMark/>
          </w:tcPr>
          <w:p w14:paraId="4E9F2B15" w14:textId="77777777" w:rsidR="00ED1DBF" w:rsidRPr="00260248" w:rsidRDefault="00ED1DBF" w:rsidP="00D30DFD">
            <w:pPr>
              <w:spacing w:after="0" w:line="240" w:lineRule="auto"/>
              <w:rPr>
                <w:rFonts w:ascii="Calibri" w:eastAsia="Times New Roman" w:hAnsi="Calibri" w:cs="Times New Roman"/>
                <w:b/>
                <w:bCs/>
                <w:color w:val="000000"/>
                <w:sz w:val="20"/>
                <w:szCs w:val="20"/>
              </w:rPr>
            </w:pPr>
          </w:p>
        </w:tc>
        <w:tc>
          <w:tcPr>
            <w:tcW w:w="361" w:type="dxa"/>
            <w:gridSpan w:val="2"/>
            <w:vMerge/>
            <w:tcBorders>
              <w:top w:val="single" w:sz="4" w:space="0" w:color="auto"/>
              <w:left w:val="nil"/>
              <w:bottom w:val="single" w:sz="18" w:space="0" w:color="auto"/>
              <w:right w:val="nil"/>
            </w:tcBorders>
            <w:vAlign w:val="center"/>
            <w:hideMark/>
          </w:tcPr>
          <w:p w14:paraId="4B4493AE" w14:textId="77777777" w:rsidR="00ED1DBF" w:rsidRPr="00260248" w:rsidRDefault="00ED1DBF" w:rsidP="00D30DFD">
            <w:pPr>
              <w:spacing w:after="0" w:line="240" w:lineRule="auto"/>
              <w:rPr>
                <w:rFonts w:ascii="Calibri" w:eastAsia="Times New Roman" w:hAnsi="Calibri" w:cs="Times New Roman"/>
                <w:b/>
                <w:bCs/>
                <w:color w:val="000000"/>
                <w:sz w:val="20"/>
                <w:szCs w:val="20"/>
              </w:rPr>
            </w:pPr>
          </w:p>
        </w:tc>
        <w:tc>
          <w:tcPr>
            <w:tcW w:w="848" w:type="dxa"/>
            <w:gridSpan w:val="2"/>
            <w:tcBorders>
              <w:top w:val="nil"/>
              <w:left w:val="single" w:sz="4" w:space="0" w:color="auto"/>
              <w:bottom w:val="single" w:sz="18" w:space="0" w:color="auto"/>
              <w:right w:val="nil"/>
            </w:tcBorders>
            <w:shd w:val="clear" w:color="auto" w:fill="auto"/>
            <w:noWrap/>
            <w:vAlign w:val="bottom"/>
            <w:hideMark/>
          </w:tcPr>
          <w:p w14:paraId="20E245E4"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 xml:space="preserve">Median </w:t>
            </w:r>
          </w:p>
        </w:tc>
        <w:tc>
          <w:tcPr>
            <w:tcW w:w="1318" w:type="dxa"/>
            <w:gridSpan w:val="2"/>
            <w:tcBorders>
              <w:top w:val="nil"/>
              <w:left w:val="nil"/>
              <w:bottom w:val="single" w:sz="18" w:space="0" w:color="auto"/>
              <w:right w:val="nil"/>
            </w:tcBorders>
            <w:shd w:val="clear" w:color="auto" w:fill="auto"/>
            <w:noWrap/>
            <w:vAlign w:val="bottom"/>
            <w:hideMark/>
          </w:tcPr>
          <w:p w14:paraId="23A000D7"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IQR</w:t>
            </w:r>
          </w:p>
        </w:tc>
        <w:tc>
          <w:tcPr>
            <w:tcW w:w="675" w:type="dxa"/>
            <w:gridSpan w:val="2"/>
            <w:tcBorders>
              <w:top w:val="nil"/>
              <w:left w:val="nil"/>
              <w:bottom w:val="single" w:sz="18" w:space="0" w:color="auto"/>
              <w:right w:val="single" w:sz="4" w:space="0" w:color="auto"/>
            </w:tcBorders>
            <w:shd w:val="clear" w:color="auto" w:fill="auto"/>
            <w:noWrap/>
            <w:vAlign w:val="bottom"/>
            <w:hideMark/>
          </w:tcPr>
          <w:p w14:paraId="4C4CF6BF"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P</w:t>
            </w:r>
          </w:p>
        </w:tc>
        <w:tc>
          <w:tcPr>
            <w:tcW w:w="848" w:type="dxa"/>
            <w:gridSpan w:val="2"/>
            <w:tcBorders>
              <w:top w:val="nil"/>
              <w:left w:val="nil"/>
              <w:bottom w:val="single" w:sz="18" w:space="0" w:color="auto"/>
              <w:right w:val="nil"/>
            </w:tcBorders>
            <w:shd w:val="clear" w:color="auto" w:fill="auto"/>
            <w:noWrap/>
            <w:vAlign w:val="bottom"/>
            <w:hideMark/>
          </w:tcPr>
          <w:p w14:paraId="3FA2D188"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 xml:space="preserve">Median </w:t>
            </w:r>
          </w:p>
        </w:tc>
        <w:tc>
          <w:tcPr>
            <w:tcW w:w="1407" w:type="dxa"/>
            <w:gridSpan w:val="2"/>
            <w:tcBorders>
              <w:top w:val="nil"/>
              <w:left w:val="nil"/>
              <w:bottom w:val="single" w:sz="18" w:space="0" w:color="auto"/>
              <w:right w:val="nil"/>
            </w:tcBorders>
            <w:shd w:val="clear" w:color="auto" w:fill="auto"/>
            <w:noWrap/>
            <w:vAlign w:val="bottom"/>
            <w:hideMark/>
          </w:tcPr>
          <w:p w14:paraId="644D2792"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IQR</w:t>
            </w:r>
          </w:p>
        </w:tc>
        <w:tc>
          <w:tcPr>
            <w:tcW w:w="727" w:type="dxa"/>
            <w:gridSpan w:val="2"/>
            <w:tcBorders>
              <w:top w:val="nil"/>
              <w:left w:val="nil"/>
              <w:bottom w:val="single" w:sz="18" w:space="0" w:color="auto"/>
              <w:right w:val="single" w:sz="4" w:space="0" w:color="auto"/>
            </w:tcBorders>
            <w:shd w:val="clear" w:color="auto" w:fill="auto"/>
            <w:noWrap/>
            <w:vAlign w:val="bottom"/>
            <w:hideMark/>
          </w:tcPr>
          <w:p w14:paraId="7EF3EBB8"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P</w:t>
            </w:r>
          </w:p>
        </w:tc>
        <w:tc>
          <w:tcPr>
            <w:tcW w:w="848" w:type="dxa"/>
            <w:gridSpan w:val="2"/>
            <w:tcBorders>
              <w:top w:val="nil"/>
              <w:left w:val="nil"/>
              <w:bottom w:val="single" w:sz="18" w:space="0" w:color="auto"/>
              <w:right w:val="nil"/>
            </w:tcBorders>
            <w:shd w:val="clear" w:color="auto" w:fill="auto"/>
            <w:noWrap/>
            <w:vAlign w:val="bottom"/>
            <w:hideMark/>
          </w:tcPr>
          <w:p w14:paraId="6EA6F052"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 xml:space="preserve">Median </w:t>
            </w:r>
          </w:p>
        </w:tc>
        <w:tc>
          <w:tcPr>
            <w:tcW w:w="1031" w:type="dxa"/>
            <w:gridSpan w:val="2"/>
            <w:tcBorders>
              <w:top w:val="nil"/>
              <w:left w:val="nil"/>
              <w:bottom w:val="single" w:sz="18" w:space="0" w:color="auto"/>
              <w:right w:val="nil"/>
            </w:tcBorders>
            <w:shd w:val="clear" w:color="auto" w:fill="auto"/>
            <w:noWrap/>
            <w:vAlign w:val="bottom"/>
            <w:hideMark/>
          </w:tcPr>
          <w:p w14:paraId="155E6B02"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IQR</w:t>
            </w:r>
          </w:p>
        </w:tc>
        <w:tc>
          <w:tcPr>
            <w:tcW w:w="675" w:type="dxa"/>
            <w:gridSpan w:val="2"/>
            <w:tcBorders>
              <w:top w:val="nil"/>
              <w:left w:val="nil"/>
              <w:bottom w:val="single" w:sz="18" w:space="0" w:color="auto"/>
              <w:right w:val="single" w:sz="18" w:space="0" w:color="auto"/>
            </w:tcBorders>
            <w:shd w:val="clear" w:color="auto" w:fill="auto"/>
            <w:noWrap/>
            <w:vAlign w:val="bottom"/>
            <w:hideMark/>
          </w:tcPr>
          <w:p w14:paraId="623BF0E2"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P</w:t>
            </w:r>
          </w:p>
        </w:tc>
      </w:tr>
      <w:tr w:rsidR="00ED1DBF" w:rsidRPr="00260248" w14:paraId="3C12C01D" w14:textId="77777777" w:rsidTr="00915145">
        <w:trPr>
          <w:trHeight w:val="300"/>
        </w:trPr>
        <w:tc>
          <w:tcPr>
            <w:tcW w:w="1503" w:type="dxa"/>
            <w:gridSpan w:val="2"/>
            <w:vMerge w:val="restart"/>
            <w:tcBorders>
              <w:top w:val="single" w:sz="18" w:space="0" w:color="auto"/>
              <w:left w:val="single" w:sz="18" w:space="0" w:color="auto"/>
              <w:bottom w:val="single" w:sz="4" w:space="0" w:color="000000"/>
              <w:right w:val="nil"/>
            </w:tcBorders>
            <w:shd w:val="clear" w:color="auto" w:fill="auto"/>
            <w:vAlign w:val="center"/>
            <w:hideMark/>
          </w:tcPr>
          <w:p w14:paraId="5F55CEE6" w14:textId="77777777" w:rsidR="00ED1DBF" w:rsidRPr="00260248" w:rsidRDefault="00ED1DBF" w:rsidP="00D30DFD">
            <w:pPr>
              <w:spacing w:after="0" w:line="240" w:lineRule="auto"/>
              <w:jc w:val="center"/>
              <w:rPr>
                <w:rFonts w:ascii="Calibri" w:eastAsia="Times New Roman" w:hAnsi="Calibri" w:cs="Times New Roman"/>
                <w:b/>
                <w:bCs/>
                <w:color w:val="000000"/>
                <w:sz w:val="20"/>
                <w:szCs w:val="20"/>
              </w:rPr>
            </w:pPr>
            <w:r w:rsidRPr="00260248">
              <w:rPr>
                <w:rFonts w:ascii="Calibri" w:eastAsia="Times New Roman" w:hAnsi="Calibri" w:cs="Times New Roman"/>
                <w:b/>
                <w:bCs/>
                <w:color w:val="000000"/>
                <w:sz w:val="20"/>
                <w:szCs w:val="20"/>
              </w:rPr>
              <w:t xml:space="preserve">Standard </w:t>
            </w:r>
          </w:p>
        </w:tc>
        <w:tc>
          <w:tcPr>
            <w:tcW w:w="361" w:type="dxa"/>
            <w:gridSpan w:val="2"/>
            <w:tcBorders>
              <w:top w:val="single" w:sz="18" w:space="0" w:color="auto"/>
              <w:left w:val="nil"/>
              <w:bottom w:val="nil"/>
              <w:right w:val="nil"/>
            </w:tcBorders>
            <w:shd w:val="clear" w:color="auto" w:fill="auto"/>
            <w:noWrap/>
            <w:vAlign w:val="bottom"/>
            <w:hideMark/>
          </w:tcPr>
          <w:p w14:paraId="79EF2777" w14:textId="77777777" w:rsidR="00ED1DBF" w:rsidRPr="00260248" w:rsidRDefault="00ED1DBF" w:rsidP="00D30DFD">
            <w:pPr>
              <w:spacing w:after="0" w:line="240" w:lineRule="auto"/>
              <w:jc w:val="center"/>
              <w:rPr>
                <w:rFonts w:ascii="Calibri" w:eastAsia="Times New Roman" w:hAnsi="Calibri" w:cs="Times New Roman"/>
                <w:b/>
                <w:bCs/>
                <w:color w:val="000000"/>
                <w:sz w:val="20"/>
                <w:szCs w:val="20"/>
              </w:rPr>
            </w:pPr>
            <w:r w:rsidRPr="00260248">
              <w:rPr>
                <w:rFonts w:ascii="Calibri" w:eastAsia="Times New Roman" w:hAnsi="Calibri" w:cs="Times New Roman"/>
                <w:b/>
                <w:bCs/>
                <w:color w:val="000000"/>
                <w:sz w:val="20"/>
                <w:szCs w:val="20"/>
              </w:rPr>
              <w:t>C</w:t>
            </w:r>
          </w:p>
        </w:tc>
        <w:tc>
          <w:tcPr>
            <w:tcW w:w="848" w:type="dxa"/>
            <w:gridSpan w:val="2"/>
            <w:tcBorders>
              <w:top w:val="single" w:sz="18" w:space="0" w:color="auto"/>
              <w:left w:val="single" w:sz="4" w:space="0" w:color="auto"/>
              <w:bottom w:val="nil"/>
              <w:right w:val="nil"/>
            </w:tcBorders>
            <w:shd w:val="clear" w:color="auto" w:fill="auto"/>
            <w:noWrap/>
            <w:vAlign w:val="center"/>
            <w:hideMark/>
          </w:tcPr>
          <w:p w14:paraId="66C9FF3B"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18</w:t>
            </w:r>
          </w:p>
        </w:tc>
        <w:tc>
          <w:tcPr>
            <w:tcW w:w="1318" w:type="dxa"/>
            <w:gridSpan w:val="2"/>
            <w:tcBorders>
              <w:top w:val="single" w:sz="18" w:space="0" w:color="auto"/>
              <w:left w:val="nil"/>
              <w:bottom w:val="nil"/>
              <w:right w:val="nil"/>
            </w:tcBorders>
            <w:shd w:val="clear" w:color="auto" w:fill="auto"/>
            <w:noWrap/>
            <w:vAlign w:val="center"/>
            <w:hideMark/>
          </w:tcPr>
          <w:p w14:paraId="6E517623"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(7.25‒20.5)</w:t>
            </w:r>
          </w:p>
        </w:tc>
        <w:tc>
          <w:tcPr>
            <w:tcW w:w="675" w:type="dxa"/>
            <w:gridSpan w:val="2"/>
            <w:vMerge w:val="restart"/>
            <w:tcBorders>
              <w:top w:val="single" w:sz="18" w:space="0" w:color="auto"/>
              <w:left w:val="nil"/>
              <w:bottom w:val="single" w:sz="4" w:space="0" w:color="000000"/>
              <w:right w:val="single" w:sz="4" w:space="0" w:color="auto"/>
            </w:tcBorders>
            <w:shd w:val="clear" w:color="auto" w:fill="auto"/>
            <w:noWrap/>
            <w:vAlign w:val="center"/>
            <w:hideMark/>
          </w:tcPr>
          <w:p w14:paraId="462E18A5"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0.052</w:t>
            </w:r>
          </w:p>
        </w:tc>
        <w:tc>
          <w:tcPr>
            <w:tcW w:w="848" w:type="dxa"/>
            <w:gridSpan w:val="2"/>
            <w:tcBorders>
              <w:top w:val="single" w:sz="18" w:space="0" w:color="auto"/>
              <w:left w:val="nil"/>
              <w:bottom w:val="nil"/>
              <w:right w:val="nil"/>
            </w:tcBorders>
            <w:shd w:val="clear" w:color="auto" w:fill="auto"/>
            <w:noWrap/>
            <w:vAlign w:val="center"/>
            <w:hideMark/>
          </w:tcPr>
          <w:p w14:paraId="71745C90"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17</w:t>
            </w:r>
          </w:p>
        </w:tc>
        <w:tc>
          <w:tcPr>
            <w:tcW w:w="1407" w:type="dxa"/>
            <w:gridSpan w:val="2"/>
            <w:tcBorders>
              <w:top w:val="single" w:sz="18" w:space="0" w:color="auto"/>
              <w:left w:val="nil"/>
              <w:bottom w:val="nil"/>
              <w:right w:val="nil"/>
            </w:tcBorders>
            <w:shd w:val="clear" w:color="auto" w:fill="auto"/>
            <w:noWrap/>
            <w:vAlign w:val="center"/>
            <w:hideMark/>
          </w:tcPr>
          <w:p w14:paraId="180FEC5D"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(7.5‒25.5)</w:t>
            </w:r>
          </w:p>
        </w:tc>
        <w:tc>
          <w:tcPr>
            <w:tcW w:w="727" w:type="dxa"/>
            <w:gridSpan w:val="2"/>
            <w:vMerge w:val="restart"/>
            <w:tcBorders>
              <w:top w:val="single" w:sz="18" w:space="0" w:color="auto"/>
              <w:left w:val="nil"/>
              <w:bottom w:val="single" w:sz="4" w:space="0" w:color="000000"/>
              <w:right w:val="single" w:sz="4" w:space="0" w:color="auto"/>
            </w:tcBorders>
            <w:shd w:val="clear" w:color="auto" w:fill="auto"/>
            <w:vAlign w:val="center"/>
            <w:hideMark/>
          </w:tcPr>
          <w:p w14:paraId="35EB5C90"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0.19</w:t>
            </w:r>
          </w:p>
        </w:tc>
        <w:tc>
          <w:tcPr>
            <w:tcW w:w="848" w:type="dxa"/>
            <w:gridSpan w:val="2"/>
            <w:tcBorders>
              <w:top w:val="single" w:sz="18" w:space="0" w:color="auto"/>
              <w:left w:val="nil"/>
              <w:bottom w:val="nil"/>
              <w:right w:val="nil"/>
            </w:tcBorders>
            <w:shd w:val="clear" w:color="auto" w:fill="auto"/>
            <w:noWrap/>
            <w:vAlign w:val="center"/>
            <w:hideMark/>
          </w:tcPr>
          <w:p w14:paraId="214AE3AB" w14:textId="77777777" w:rsidR="00ED1DBF" w:rsidRPr="00260248" w:rsidRDefault="00ED1DBF" w:rsidP="00D30DFD">
            <w:pPr>
              <w:spacing w:after="0" w:line="240" w:lineRule="auto"/>
              <w:jc w:val="center"/>
              <w:rPr>
                <w:rFonts w:ascii="Calibri" w:eastAsia="Times New Roman" w:hAnsi="Calibri" w:cs="Times New Roman"/>
                <w:b/>
                <w:bCs/>
                <w:color w:val="000000"/>
                <w:sz w:val="20"/>
                <w:szCs w:val="20"/>
              </w:rPr>
            </w:pPr>
            <w:r w:rsidRPr="00260248">
              <w:rPr>
                <w:rFonts w:ascii="Calibri" w:eastAsia="Times New Roman" w:hAnsi="Calibri" w:cs="Times New Roman"/>
                <w:b/>
                <w:bCs/>
                <w:color w:val="000000"/>
                <w:sz w:val="20"/>
                <w:szCs w:val="20"/>
              </w:rPr>
              <w:t>5</w:t>
            </w:r>
          </w:p>
        </w:tc>
        <w:tc>
          <w:tcPr>
            <w:tcW w:w="1031" w:type="dxa"/>
            <w:gridSpan w:val="2"/>
            <w:tcBorders>
              <w:top w:val="single" w:sz="18" w:space="0" w:color="auto"/>
              <w:left w:val="nil"/>
              <w:bottom w:val="nil"/>
              <w:right w:val="nil"/>
            </w:tcBorders>
            <w:shd w:val="clear" w:color="auto" w:fill="auto"/>
            <w:noWrap/>
            <w:vAlign w:val="center"/>
            <w:hideMark/>
          </w:tcPr>
          <w:p w14:paraId="510CEB6A" w14:textId="77777777" w:rsidR="00ED1DBF" w:rsidRPr="00260248" w:rsidRDefault="00ED1DBF" w:rsidP="00D30DFD">
            <w:pPr>
              <w:spacing w:after="0" w:line="240" w:lineRule="auto"/>
              <w:jc w:val="center"/>
              <w:rPr>
                <w:rFonts w:ascii="Calibri" w:eastAsia="Times New Roman" w:hAnsi="Calibri" w:cs="Times New Roman"/>
                <w:b/>
                <w:bCs/>
                <w:color w:val="000000"/>
                <w:sz w:val="20"/>
                <w:szCs w:val="20"/>
              </w:rPr>
            </w:pPr>
            <w:r w:rsidRPr="00260248">
              <w:rPr>
                <w:rFonts w:ascii="Calibri" w:eastAsia="Times New Roman" w:hAnsi="Calibri" w:cs="Times New Roman"/>
                <w:b/>
                <w:bCs/>
                <w:color w:val="000000"/>
                <w:sz w:val="20"/>
                <w:szCs w:val="20"/>
              </w:rPr>
              <w:t>(0‒10)</w:t>
            </w:r>
          </w:p>
        </w:tc>
        <w:tc>
          <w:tcPr>
            <w:tcW w:w="675" w:type="dxa"/>
            <w:gridSpan w:val="2"/>
            <w:vMerge w:val="restart"/>
            <w:tcBorders>
              <w:top w:val="single" w:sz="18" w:space="0" w:color="auto"/>
              <w:left w:val="nil"/>
              <w:bottom w:val="single" w:sz="4" w:space="0" w:color="000000"/>
              <w:right w:val="single" w:sz="18" w:space="0" w:color="auto"/>
            </w:tcBorders>
            <w:shd w:val="clear" w:color="auto" w:fill="auto"/>
            <w:noWrap/>
            <w:vAlign w:val="center"/>
            <w:hideMark/>
          </w:tcPr>
          <w:p w14:paraId="77B0289B" w14:textId="77777777" w:rsidR="00ED1DBF" w:rsidRPr="00260248" w:rsidRDefault="00ED1DBF" w:rsidP="00D30DFD">
            <w:pPr>
              <w:spacing w:after="0" w:line="240" w:lineRule="auto"/>
              <w:jc w:val="center"/>
              <w:rPr>
                <w:rFonts w:ascii="Calibri" w:eastAsia="Times New Roman" w:hAnsi="Calibri" w:cs="Times New Roman"/>
                <w:b/>
                <w:bCs/>
                <w:color w:val="000000"/>
                <w:sz w:val="20"/>
                <w:szCs w:val="20"/>
              </w:rPr>
            </w:pPr>
            <w:r w:rsidRPr="00260248">
              <w:rPr>
                <w:rFonts w:ascii="Calibri" w:eastAsia="Times New Roman" w:hAnsi="Calibri" w:cs="Times New Roman"/>
                <w:b/>
                <w:bCs/>
                <w:color w:val="000000"/>
                <w:sz w:val="20"/>
                <w:szCs w:val="20"/>
              </w:rPr>
              <w:t>0.021</w:t>
            </w:r>
          </w:p>
        </w:tc>
      </w:tr>
      <w:tr w:rsidR="00ED1DBF" w:rsidRPr="00260248" w14:paraId="6AB22B6B" w14:textId="77777777" w:rsidTr="00915145">
        <w:trPr>
          <w:trHeight w:val="300"/>
        </w:trPr>
        <w:tc>
          <w:tcPr>
            <w:tcW w:w="1503" w:type="dxa"/>
            <w:gridSpan w:val="2"/>
            <w:vMerge/>
            <w:tcBorders>
              <w:top w:val="nil"/>
              <w:left w:val="single" w:sz="18" w:space="0" w:color="auto"/>
              <w:bottom w:val="single" w:sz="4" w:space="0" w:color="000000"/>
              <w:right w:val="nil"/>
            </w:tcBorders>
            <w:vAlign w:val="center"/>
            <w:hideMark/>
          </w:tcPr>
          <w:p w14:paraId="3660F17A" w14:textId="77777777" w:rsidR="00ED1DBF" w:rsidRPr="00260248" w:rsidRDefault="00ED1DBF" w:rsidP="00D30DFD">
            <w:pPr>
              <w:spacing w:after="0" w:line="240" w:lineRule="auto"/>
              <w:rPr>
                <w:rFonts w:ascii="Calibri" w:eastAsia="Times New Roman" w:hAnsi="Calibri" w:cs="Times New Roman"/>
                <w:b/>
                <w:bCs/>
                <w:color w:val="000000"/>
                <w:sz w:val="20"/>
                <w:szCs w:val="20"/>
              </w:rPr>
            </w:pPr>
          </w:p>
        </w:tc>
        <w:tc>
          <w:tcPr>
            <w:tcW w:w="361" w:type="dxa"/>
            <w:gridSpan w:val="2"/>
            <w:tcBorders>
              <w:top w:val="nil"/>
              <w:left w:val="nil"/>
              <w:bottom w:val="single" w:sz="4" w:space="0" w:color="auto"/>
              <w:right w:val="nil"/>
            </w:tcBorders>
            <w:shd w:val="clear" w:color="auto" w:fill="auto"/>
            <w:noWrap/>
            <w:vAlign w:val="bottom"/>
            <w:hideMark/>
          </w:tcPr>
          <w:p w14:paraId="401CA019" w14:textId="77777777" w:rsidR="00ED1DBF" w:rsidRPr="00260248" w:rsidRDefault="00ED1DBF" w:rsidP="00D30DFD">
            <w:pPr>
              <w:spacing w:after="0" w:line="240" w:lineRule="auto"/>
              <w:jc w:val="center"/>
              <w:rPr>
                <w:rFonts w:ascii="Calibri" w:eastAsia="Times New Roman" w:hAnsi="Calibri" w:cs="Times New Roman"/>
                <w:b/>
                <w:bCs/>
                <w:color w:val="000000"/>
                <w:sz w:val="20"/>
                <w:szCs w:val="20"/>
              </w:rPr>
            </w:pPr>
            <w:r w:rsidRPr="00260248">
              <w:rPr>
                <w:rFonts w:ascii="Calibri" w:eastAsia="Times New Roman" w:hAnsi="Calibri" w:cs="Times New Roman"/>
                <w:b/>
                <w:bCs/>
                <w:color w:val="000000"/>
                <w:sz w:val="20"/>
                <w:szCs w:val="20"/>
              </w:rPr>
              <w:t>S</w:t>
            </w:r>
          </w:p>
        </w:tc>
        <w:tc>
          <w:tcPr>
            <w:tcW w:w="848" w:type="dxa"/>
            <w:gridSpan w:val="2"/>
            <w:tcBorders>
              <w:top w:val="nil"/>
              <w:left w:val="single" w:sz="4" w:space="0" w:color="auto"/>
              <w:bottom w:val="single" w:sz="4" w:space="0" w:color="auto"/>
              <w:right w:val="nil"/>
            </w:tcBorders>
            <w:shd w:val="clear" w:color="auto" w:fill="auto"/>
            <w:noWrap/>
            <w:vAlign w:val="center"/>
            <w:hideMark/>
          </w:tcPr>
          <w:p w14:paraId="2536C390"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8</w:t>
            </w:r>
          </w:p>
        </w:tc>
        <w:tc>
          <w:tcPr>
            <w:tcW w:w="1318" w:type="dxa"/>
            <w:gridSpan w:val="2"/>
            <w:tcBorders>
              <w:top w:val="nil"/>
              <w:left w:val="nil"/>
              <w:bottom w:val="single" w:sz="4" w:space="0" w:color="auto"/>
              <w:right w:val="nil"/>
            </w:tcBorders>
            <w:shd w:val="clear" w:color="auto" w:fill="auto"/>
            <w:noWrap/>
            <w:vAlign w:val="center"/>
            <w:hideMark/>
          </w:tcPr>
          <w:p w14:paraId="40F9350B"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(3.25‒19)</w:t>
            </w:r>
          </w:p>
        </w:tc>
        <w:tc>
          <w:tcPr>
            <w:tcW w:w="675" w:type="dxa"/>
            <w:gridSpan w:val="2"/>
            <w:vMerge/>
            <w:tcBorders>
              <w:top w:val="nil"/>
              <w:left w:val="nil"/>
              <w:bottom w:val="single" w:sz="4" w:space="0" w:color="000000"/>
              <w:right w:val="single" w:sz="4" w:space="0" w:color="auto"/>
            </w:tcBorders>
            <w:vAlign w:val="center"/>
            <w:hideMark/>
          </w:tcPr>
          <w:p w14:paraId="3374B6A5" w14:textId="77777777" w:rsidR="00ED1DBF" w:rsidRPr="00260248" w:rsidRDefault="00ED1DBF" w:rsidP="00D30DFD">
            <w:pPr>
              <w:spacing w:after="0" w:line="240" w:lineRule="auto"/>
              <w:rPr>
                <w:rFonts w:ascii="Calibri" w:eastAsia="Times New Roman" w:hAnsi="Calibri" w:cs="Times New Roman"/>
                <w:color w:val="000000"/>
                <w:sz w:val="20"/>
                <w:szCs w:val="20"/>
              </w:rPr>
            </w:pPr>
          </w:p>
        </w:tc>
        <w:tc>
          <w:tcPr>
            <w:tcW w:w="848" w:type="dxa"/>
            <w:gridSpan w:val="2"/>
            <w:tcBorders>
              <w:top w:val="nil"/>
              <w:left w:val="nil"/>
              <w:bottom w:val="single" w:sz="4" w:space="0" w:color="auto"/>
              <w:right w:val="nil"/>
            </w:tcBorders>
            <w:shd w:val="clear" w:color="auto" w:fill="auto"/>
            <w:noWrap/>
            <w:vAlign w:val="center"/>
            <w:hideMark/>
          </w:tcPr>
          <w:p w14:paraId="1F8FB501"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8</w:t>
            </w:r>
          </w:p>
        </w:tc>
        <w:tc>
          <w:tcPr>
            <w:tcW w:w="1407" w:type="dxa"/>
            <w:gridSpan w:val="2"/>
            <w:tcBorders>
              <w:top w:val="nil"/>
              <w:left w:val="nil"/>
              <w:bottom w:val="single" w:sz="4" w:space="0" w:color="auto"/>
              <w:right w:val="nil"/>
            </w:tcBorders>
            <w:shd w:val="clear" w:color="auto" w:fill="auto"/>
            <w:noWrap/>
            <w:vAlign w:val="center"/>
            <w:hideMark/>
          </w:tcPr>
          <w:p w14:paraId="671FB1C4"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(4.25‒19.75)</w:t>
            </w:r>
          </w:p>
        </w:tc>
        <w:tc>
          <w:tcPr>
            <w:tcW w:w="727" w:type="dxa"/>
            <w:gridSpan w:val="2"/>
            <w:vMerge/>
            <w:tcBorders>
              <w:top w:val="nil"/>
              <w:left w:val="nil"/>
              <w:bottom w:val="single" w:sz="4" w:space="0" w:color="000000"/>
              <w:right w:val="single" w:sz="4" w:space="0" w:color="auto"/>
            </w:tcBorders>
            <w:vAlign w:val="center"/>
            <w:hideMark/>
          </w:tcPr>
          <w:p w14:paraId="45F39434" w14:textId="77777777" w:rsidR="00ED1DBF" w:rsidRPr="00260248" w:rsidRDefault="00ED1DBF" w:rsidP="00D30DFD">
            <w:pPr>
              <w:spacing w:after="0" w:line="240" w:lineRule="auto"/>
              <w:rPr>
                <w:rFonts w:ascii="Calibri" w:eastAsia="Times New Roman" w:hAnsi="Calibri" w:cs="Times New Roman"/>
                <w:color w:val="000000"/>
                <w:sz w:val="20"/>
                <w:szCs w:val="20"/>
              </w:rPr>
            </w:pPr>
          </w:p>
        </w:tc>
        <w:tc>
          <w:tcPr>
            <w:tcW w:w="848" w:type="dxa"/>
            <w:gridSpan w:val="2"/>
            <w:tcBorders>
              <w:top w:val="nil"/>
              <w:left w:val="nil"/>
              <w:bottom w:val="single" w:sz="4" w:space="0" w:color="auto"/>
              <w:right w:val="nil"/>
            </w:tcBorders>
            <w:shd w:val="clear" w:color="auto" w:fill="auto"/>
            <w:noWrap/>
            <w:vAlign w:val="center"/>
            <w:hideMark/>
          </w:tcPr>
          <w:p w14:paraId="2C896D3A" w14:textId="77777777" w:rsidR="00ED1DBF" w:rsidRPr="00260248" w:rsidRDefault="00ED1DBF" w:rsidP="00D30DFD">
            <w:pPr>
              <w:spacing w:after="0" w:line="240" w:lineRule="auto"/>
              <w:jc w:val="center"/>
              <w:rPr>
                <w:rFonts w:ascii="Calibri" w:eastAsia="Times New Roman" w:hAnsi="Calibri" w:cs="Times New Roman"/>
                <w:b/>
                <w:bCs/>
                <w:color w:val="000000"/>
                <w:sz w:val="20"/>
                <w:szCs w:val="20"/>
              </w:rPr>
            </w:pPr>
            <w:r w:rsidRPr="00260248">
              <w:rPr>
                <w:rFonts w:ascii="Calibri" w:eastAsia="Times New Roman" w:hAnsi="Calibri" w:cs="Times New Roman"/>
                <w:b/>
                <w:bCs/>
                <w:color w:val="000000"/>
                <w:sz w:val="20"/>
                <w:szCs w:val="20"/>
              </w:rPr>
              <w:t>0</w:t>
            </w:r>
          </w:p>
        </w:tc>
        <w:tc>
          <w:tcPr>
            <w:tcW w:w="1031" w:type="dxa"/>
            <w:gridSpan w:val="2"/>
            <w:tcBorders>
              <w:top w:val="nil"/>
              <w:left w:val="nil"/>
              <w:bottom w:val="single" w:sz="4" w:space="0" w:color="auto"/>
              <w:right w:val="nil"/>
            </w:tcBorders>
            <w:shd w:val="clear" w:color="auto" w:fill="auto"/>
            <w:noWrap/>
            <w:vAlign w:val="center"/>
            <w:hideMark/>
          </w:tcPr>
          <w:p w14:paraId="2F3017D9" w14:textId="77777777" w:rsidR="00ED1DBF" w:rsidRPr="00260248" w:rsidRDefault="00ED1DBF" w:rsidP="00D30DFD">
            <w:pPr>
              <w:spacing w:after="0" w:line="240" w:lineRule="auto"/>
              <w:jc w:val="center"/>
              <w:rPr>
                <w:rFonts w:ascii="Calibri" w:eastAsia="Times New Roman" w:hAnsi="Calibri" w:cs="Times New Roman"/>
                <w:b/>
                <w:bCs/>
                <w:color w:val="000000"/>
                <w:sz w:val="20"/>
                <w:szCs w:val="20"/>
              </w:rPr>
            </w:pPr>
            <w:r w:rsidRPr="00260248">
              <w:rPr>
                <w:rFonts w:ascii="Calibri" w:eastAsia="Times New Roman" w:hAnsi="Calibri" w:cs="Times New Roman"/>
                <w:b/>
                <w:bCs/>
                <w:color w:val="000000"/>
                <w:sz w:val="20"/>
                <w:szCs w:val="20"/>
              </w:rPr>
              <w:t>(0‒4.25)</w:t>
            </w:r>
          </w:p>
        </w:tc>
        <w:tc>
          <w:tcPr>
            <w:tcW w:w="675" w:type="dxa"/>
            <w:gridSpan w:val="2"/>
            <w:vMerge/>
            <w:tcBorders>
              <w:top w:val="nil"/>
              <w:left w:val="nil"/>
              <w:bottom w:val="single" w:sz="4" w:space="0" w:color="000000"/>
              <w:right w:val="single" w:sz="18" w:space="0" w:color="auto"/>
            </w:tcBorders>
            <w:vAlign w:val="center"/>
            <w:hideMark/>
          </w:tcPr>
          <w:p w14:paraId="630FA823" w14:textId="77777777" w:rsidR="00ED1DBF" w:rsidRPr="00260248" w:rsidRDefault="00ED1DBF" w:rsidP="00D30DFD">
            <w:pPr>
              <w:spacing w:after="0" w:line="240" w:lineRule="auto"/>
              <w:rPr>
                <w:rFonts w:ascii="Calibri" w:eastAsia="Times New Roman" w:hAnsi="Calibri" w:cs="Times New Roman"/>
                <w:b/>
                <w:bCs/>
                <w:color w:val="000000"/>
                <w:sz w:val="20"/>
                <w:szCs w:val="20"/>
              </w:rPr>
            </w:pPr>
          </w:p>
        </w:tc>
      </w:tr>
      <w:tr w:rsidR="00ED1DBF" w:rsidRPr="00260248" w14:paraId="3EFED8F8" w14:textId="77777777" w:rsidTr="00915145">
        <w:trPr>
          <w:trHeight w:val="300"/>
        </w:trPr>
        <w:tc>
          <w:tcPr>
            <w:tcW w:w="1503" w:type="dxa"/>
            <w:gridSpan w:val="2"/>
            <w:vMerge w:val="restart"/>
            <w:tcBorders>
              <w:top w:val="nil"/>
              <w:left w:val="single" w:sz="18" w:space="0" w:color="auto"/>
              <w:bottom w:val="single" w:sz="4" w:space="0" w:color="000000"/>
              <w:right w:val="nil"/>
            </w:tcBorders>
            <w:shd w:val="clear" w:color="000000" w:fill="DCE6F1"/>
            <w:vAlign w:val="center"/>
            <w:hideMark/>
          </w:tcPr>
          <w:p w14:paraId="50388681" w14:textId="77777777" w:rsidR="00ED1DBF" w:rsidRPr="00260248" w:rsidRDefault="00ED1DBF" w:rsidP="00D30DFD">
            <w:pPr>
              <w:spacing w:after="0" w:line="240" w:lineRule="auto"/>
              <w:jc w:val="center"/>
              <w:rPr>
                <w:rFonts w:ascii="Calibri" w:eastAsia="Times New Roman" w:hAnsi="Calibri" w:cs="Times New Roman"/>
                <w:b/>
                <w:bCs/>
                <w:color w:val="000000"/>
                <w:sz w:val="20"/>
                <w:szCs w:val="20"/>
              </w:rPr>
            </w:pPr>
            <w:r w:rsidRPr="00260248">
              <w:rPr>
                <w:rFonts w:ascii="Calibri" w:eastAsia="Times New Roman" w:hAnsi="Calibri" w:cs="Times New Roman"/>
                <w:b/>
                <w:bCs/>
                <w:color w:val="000000"/>
                <w:sz w:val="20"/>
                <w:szCs w:val="20"/>
              </w:rPr>
              <w:t>Modified for Inpatient Stay</w:t>
            </w:r>
          </w:p>
        </w:tc>
        <w:tc>
          <w:tcPr>
            <w:tcW w:w="361" w:type="dxa"/>
            <w:gridSpan w:val="2"/>
            <w:tcBorders>
              <w:top w:val="nil"/>
              <w:left w:val="nil"/>
              <w:bottom w:val="nil"/>
              <w:right w:val="nil"/>
            </w:tcBorders>
            <w:shd w:val="clear" w:color="000000" w:fill="DCE6F1"/>
            <w:noWrap/>
            <w:vAlign w:val="bottom"/>
            <w:hideMark/>
          </w:tcPr>
          <w:p w14:paraId="238CEC84" w14:textId="77777777" w:rsidR="00ED1DBF" w:rsidRPr="00260248" w:rsidRDefault="00ED1DBF" w:rsidP="00D30DFD">
            <w:pPr>
              <w:spacing w:after="0" w:line="240" w:lineRule="auto"/>
              <w:jc w:val="center"/>
              <w:rPr>
                <w:rFonts w:ascii="Calibri" w:eastAsia="Times New Roman" w:hAnsi="Calibri" w:cs="Times New Roman"/>
                <w:b/>
                <w:bCs/>
                <w:color w:val="000000"/>
                <w:sz w:val="20"/>
                <w:szCs w:val="20"/>
              </w:rPr>
            </w:pPr>
            <w:r w:rsidRPr="00260248">
              <w:rPr>
                <w:rFonts w:ascii="Calibri" w:eastAsia="Times New Roman" w:hAnsi="Calibri" w:cs="Times New Roman"/>
                <w:b/>
                <w:bCs/>
                <w:color w:val="000000"/>
                <w:sz w:val="20"/>
                <w:szCs w:val="20"/>
              </w:rPr>
              <w:t>C</w:t>
            </w:r>
          </w:p>
        </w:tc>
        <w:tc>
          <w:tcPr>
            <w:tcW w:w="848" w:type="dxa"/>
            <w:gridSpan w:val="2"/>
            <w:tcBorders>
              <w:top w:val="nil"/>
              <w:left w:val="single" w:sz="4" w:space="0" w:color="auto"/>
              <w:bottom w:val="nil"/>
              <w:right w:val="nil"/>
            </w:tcBorders>
            <w:shd w:val="clear" w:color="000000" w:fill="DCE6F1"/>
            <w:noWrap/>
            <w:vAlign w:val="center"/>
            <w:hideMark/>
          </w:tcPr>
          <w:p w14:paraId="705A3BC6" w14:textId="77777777" w:rsidR="00ED1DBF" w:rsidRPr="00260248" w:rsidRDefault="00ED1DBF" w:rsidP="00D30DFD">
            <w:pPr>
              <w:spacing w:after="0" w:line="240" w:lineRule="auto"/>
              <w:jc w:val="center"/>
              <w:rPr>
                <w:rFonts w:ascii="Calibri" w:eastAsia="Times New Roman" w:hAnsi="Calibri" w:cs="Times New Roman"/>
                <w:b/>
                <w:bCs/>
                <w:color w:val="000000"/>
                <w:sz w:val="20"/>
                <w:szCs w:val="20"/>
              </w:rPr>
            </w:pPr>
            <w:r w:rsidRPr="00260248">
              <w:rPr>
                <w:rFonts w:ascii="Calibri" w:eastAsia="Times New Roman" w:hAnsi="Calibri" w:cs="Times New Roman"/>
                <w:b/>
                <w:bCs/>
                <w:color w:val="000000"/>
                <w:sz w:val="20"/>
                <w:szCs w:val="20"/>
              </w:rPr>
              <w:t>15.5</w:t>
            </w:r>
          </w:p>
        </w:tc>
        <w:tc>
          <w:tcPr>
            <w:tcW w:w="1318" w:type="dxa"/>
            <w:gridSpan w:val="2"/>
            <w:tcBorders>
              <w:top w:val="nil"/>
              <w:left w:val="nil"/>
              <w:bottom w:val="nil"/>
              <w:right w:val="nil"/>
            </w:tcBorders>
            <w:shd w:val="clear" w:color="000000" w:fill="DCE6F1"/>
            <w:noWrap/>
            <w:vAlign w:val="center"/>
            <w:hideMark/>
          </w:tcPr>
          <w:p w14:paraId="50B40122" w14:textId="77777777" w:rsidR="00ED1DBF" w:rsidRPr="00260248" w:rsidRDefault="00ED1DBF" w:rsidP="00D30DFD">
            <w:pPr>
              <w:spacing w:after="0" w:line="240" w:lineRule="auto"/>
              <w:jc w:val="center"/>
              <w:rPr>
                <w:rFonts w:ascii="Calibri" w:eastAsia="Times New Roman" w:hAnsi="Calibri" w:cs="Times New Roman"/>
                <w:b/>
                <w:bCs/>
                <w:color w:val="000000"/>
                <w:sz w:val="20"/>
                <w:szCs w:val="20"/>
              </w:rPr>
            </w:pPr>
            <w:r w:rsidRPr="00260248">
              <w:rPr>
                <w:rFonts w:ascii="Calibri" w:eastAsia="Times New Roman" w:hAnsi="Calibri" w:cs="Times New Roman"/>
                <w:b/>
                <w:bCs/>
                <w:color w:val="000000"/>
                <w:sz w:val="20"/>
                <w:szCs w:val="20"/>
              </w:rPr>
              <w:t>(7.25‒20)</w:t>
            </w:r>
          </w:p>
        </w:tc>
        <w:tc>
          <w:tcPr>
            <w:tcW w:w="675" w:type="dxa"/>
            <w:gridSpan w:val="2"/>
            <w:vMerge w:val="restart"/>
            <w:tcBorders>
              <w:top w:val="nil"/>
              <w:left w:val="nil"/>
              <w:bottom w:val="single" w:sz="4" w:space="0" w:color="000000"/>
              <w:right w:val="single" w:sz="4" w:space="0" w:color="auto"/>
            </w:tcBorders>
            <w:shd w:val="clear" w:color="000000" w:fill="DCE6F1"/>
            <w:noWrap/>
            <w:vAlign w:val="center"/>
            <w:hideMark/>
          </w:tcPr>
          <w:p w14:paraId="249C45E7" w14:textId="77777777" w:rsidR="00ED1DBF" w:rsidRPr="00260248" w:rsidRDefault="00ED1DBF" w:rsidP="00D30DFD">
            <w:pPr>
              <w:spacing w:after="0" w:line="240" w:lineRule="auto"/>
              <w:jc w:val="center"/>
              <w:rPr>
                <w:rFonts w:ascii="Calibri" w:eastAsia="Times New Roman" w:hAnsi="Calibri" w:cs="Times New Roman"/>
                <w:b/>
                <w:bCs/>
                <w:color w:val="000000"/>
                <w:sz w:val="20"/>
                <w:szCs w:val="20"/>
              </w:rPr>
            </w:pPr>
            <w:r w:rsidRPr="00260248">
              <w:rPr>
                <w:rFonts w:ascii="Calibri" w:eastAsia="Times New Roman" w:hAnsi="Calibri" w:cs="Times New Roman"/>
                <w:b/>
                <w:bCs/>
                <w:color w:val="000000"/>
                <w:sz w:val="20"/>
                <w:szCs w:val="20"/>
              </w:rPr>
              <w:t>0.043</w:t>
            </w:r>
          </w:p>
        </w:tc>
        <w:tc>
          <w:tcPr>
            <w:tcW w:w="848" w:type="dxa"/>
            <w:gridSpan w:val="2"/>
            <w:tcBorders>
              <w:top w:val="nil"/>
              <w:left w:val="nil"/>
              <w:bottom w:val="nil"/>
              <w:right w:val="nil"/>
            </w:tcBorders>
            <w:shd w:val="clear" w:color="000000" w:fill="DCE6F1"/>
            <w:noWrap/>
            <w:vAlign w:val="center"/>
            <w:hideMark/>
          </w:tcPr>
          <w:p w14:paraId="1A326C83"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15</w:t>
            </w:r>
          </w:p>
        </w:tc>
        <w:tc>
          <w:tcPr>
            <w:tcW w:w="1407" w:type="dxa"/>
            <w:gridSpan w:val="2"/>
            <w:tcBorders>
              <w:top w:val="nil"/>
              <w:left w:val="nil"/>
              <w:bottom w:val="nil"/>
              <w:right w:val="nil"/>
            </w:tcBorders>
            <w:shd w:val="clear" w:color="000000" w:fill="DCE6F1"/>
            <w:noWrap/>
            <w:vAlign w:val="center"/>
            <w:hideMark/>
          </w:tcPr>
          <w:p w14:paraId="1B799CE8"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(7.3‒20)</w:t>
            </w:r>
          </w:p>
        </w:tc>
        <w:tc>
          <w:tcPr>
            <w:tcW w:w="727" w:type="dxa"/>
            <w:gridSpan w:val="2"/>
            <w:vMerge w:val="restart"/>
            <w:tcBorders>
              <w:top w:val="nil"/>
              <w:left w:val="nil"/>
              <w:bottom w:val="single" w:sz="4" w:space="0" w:color="000000"/>
              <w:right w:val="single" w:sz="4" w:space="0" w:color="auto"/>
            </w:tcBorders>
            <w:shd w:val="clear" w:color="000000" w:fill="DCE6F1"/>
            <w:vAlign w:val="center"/>
            <w:hideMark/>
          </w:tcPr>
          <w:p w14:paraId="2385366B"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0.074</w:t>
            </w:r>
          </w:p>
        </w:tc>
        <w:tc>
          <w:tcPr>
            <w:tcW w:w="2554" w:type="dxa"/>
            <w:gridSpan w:val="6"/>
            <w:vMerge w:val="restart"/>
            <w:tcBorders>
              <w:top w:val="single" w:sz="4" w:space="0" w:color="auto"/>
              <w:left w:val="single" w:sz="4" w:space="0" w:color="auto"/>
              <w:bottom w:val="single" w:sz="4" w:space="0" w:color="000000"/>
              <w:right w:val="single" w:sz="18" w:space="0" w:color="auto"/>
            </w:tcBorders>
            <w:shd w:val="clear" w:color="000000" w:fill="DCE6F1"/>
            <w:noWrap/>
            <w:vAlign w:val="center"/>
            <w:hideMark/>
          </w:tcPr>
          <w:p w14:paraId="48855AF2"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N/A</w:t>
            </w:r>
          </w:p>
        </w:tc>
      </w:tr>
      <w:tr w:rsidR="00ED1DBF" w:rsidRPr="00260248" w14:paraId="716989DE" w14:textId="77777777" w:rsidTr="00915145">
        <w:trPr>
          <w:trHeight w:val="300"/>
        </w:trPr>
        <w:tc>
          <w:tcPr>
            <w:tcW w:w="1503" w:type="dxa"/>
            <w:gridSpan w:val="2"/>
            <w:vMerge/>
            <w:tcBorders>
              <w:top w:val="nil"/>
              <w:left w:val="single" w:sz="18" w:space="0" w:color="auto"/>
              <w:bottom w:val="single" w:sz="18" w:space="0" w:color="auto"/>
              <w:right w:val="nil"/>
            </w:tcBorders>
            <w:vAlign w:val="center"/>
            <w:hideMark/>
          </w:tcPr>
          <w:p w14:paraId="51D680E1" w14:textId="77777777" w:rsidR="00ED1DBF" w:rsidRPr="00260248" w:rsidRDefault="00ED1DBF" w:rsidP="00D30DFD">
            <w:pPr>
              <w:spacing w:after="0" w:line="240" w:lineRule="auto"/>
              <w:rPr>
                <w:rFonts w:ascii="Calibri" w:eastAsia="Times New Roman" w:hAnsi="Calibri" w:cs="Times New Roman"/>
                <w:b/>
                <w:bCs/>
                <w:color w:val="000000"/>
                <w:sz w:val="20"/>
                <w:szCs w:val="20"/>
              </w:rPr>
            </w:pPr>
          </w:p>
        </w:tc>
        <w:tc>
          <w:tcPr>
            <w:tcW w:w="361" w:type="dxa"/>
            <w:gridSpan w:val="2"/>
            <w:tcBorders>
              <w:top w:val="nil"/>
              <w:left w:val="nil"/>
              <w:bottom w:val="single" w:sz="18" w:space="0" w:color="auto"/>
              <w:right w:val="nil"/>
            </w:tcBorders>
            <w:shd w:val="clear" w:color="000000" w:fill="DCE6F1"/>
            <w:noWrap/>
            <w:vAlign w:val="bottom"/>
            <w:hideMark/>
          </w:tcPr>
          <w:p w14:paraId="2D1B08F6" w14:textId="77777777" w:rsidR="00ED1DBF" w:rsidRPr="00260248" w:rsidRDefault="00ED1DBF" w:rsidP="00D30DFD">
            <w:pPr>
              <w:spacing w:after="0" w:line="240" w:lineRule="auto"/>
              <w:jc w:val="center"/>
              <w:rPr>
                <w:rFonts w:ascii="Calibri" w:eastAsia="Times New Roman" w:hAnsi="Calibri" w:cs="Times New Roman"/>
                <w:b/>
                <w:bCs/>
                <w:color w:val="000000"/>
                <w:sz w:val="20"/>
                <w:szCs w:val="20"/>
              </w:rPr>
            </w:pPr>
            <w:r w:rsidRPr="00260248">
              <w:rPr>
                <w:rFonts w:ascii="Calibri" w:eastAsia="Times New Roman" w:hAnsi="Calibri" w:cs="Times New Roman"/>
                <w:b/>
                <w:bCs/>
                <w:color w:val="000000"/>
                <w:sz w:val="20"/>
                <w:szCs w:val="20"/>
              </w:rPr>
              <w:t>S</w:t>
            </w:r>
          </w:p>
        </w:tc>
        <w:tc>
          <w:tcPr>
            <w:tcW w:w="848" w:type="dxa"/>
            <w:gridSpan w:val="2"/>
            <w:tcBorders>
              <w:top w:val="nil"/>
              <w:left w:val="single" w:sz="4" w:space="0" w:color="auto"/>
              <w:bottom w:val="single" w:sz="18" w:space="0" w:color="auto"/>
              <w:right w:val="nil"/>
            </w:tcBorders>
            <w:shd w:val="clear" w:color="000000" w:fill="DCE6F1"/>
            <w:noWrap/>
            <w:vAlign w:val="center"/>
            <w:hideMark/>
          </w:tcPr>
          <w:p w14:paraId="01339B50" w14:textId="77777777" w:rsidR="00ED1DBF" w:rsidRPr="00260248" w:rsidRDefault="00ED1DBF" w:rsidP="00D30DFD">
            <w:pPr>
              <w:spacing w:after="0" w:line="240" w:lineRule="auto"/>
              <w:jc w:val="center"/>
              <w:rPr>
                <w:rFonts w:ascii="Calibri" w:eastAsia="Times New Roman" w:hAnsi="Calibri" w:cs="Times New Roman"/>
                <w:b/>
                <w:bCs/>
                <w:color w:val="000000"/>
                <w:sz w:val="20"/>
                <w:szCs w:val="20"/>
              </w:rPr>
            </w:pPr>
            <w:r w:rsidRPr="00260248">
              <w:rPr>
                <w:rFonts w:ascii="Calibri" w:eastAsia="Times New Roman" w:hAnsi="Calibri" w:cs="Times New Roman"/>
                <w:b/>
                <w:bCs/>
                <w:color w:val="000000"/>
                <w:sz w:val="20"/>
                <w:szCs w:val="20"/>
              </w:rPr>
              <w:t>7.5</w:t>
            </w:r>
          </w:p>
        </w:tc>
        <w:tc>
          <w:tcPr>
            <w:tcW w:w="1318" w:type="dxa"/>
            <w:gridSpan w:val="2"/>
            <w:tcBorders>
              <w:top w:val="nil"/>
              <w:left w:val="nil"/>
              <w:bottom w:val="single" w:sz="18" w:space="0" w:color="auto"/>
              <w:right w:val="nil"/>
            </w:tcBorders>
            <w:shd w:val="clear" w:color="000000" w:fill="DCE6F1"/>
            <w:noWrap/>
            <w:vAlign w:val="center"/>
            <w:hideMark/>
          </w:tcPr>
          <w:p w14:paraId="33DA0CA7" w14:textId="77777777" w:rsidR="00ED1DBF" w:rsidRPr="00260248" w:rsidRDefault="00ED1DBF" w:rsidP="00D30DFD">
            <w:pPr>
              <w:spacing w:after="0" w:line="240" w:lineRule="auto"/>
              <w:jc w:val="center"/>
              <w:rPr>
                <w:rFonts w:ascii="Calibri" w:eastAsia="Times New Roman" w:hAnsi="Calibri" w:cs="Times New Roman"/>
                <w:b/>
                <w:bCs/>
                <w:color w:val="000000"/>
                <w:sz w:val="20"/>
                <w:szCs w:val="20"/>
              </w:rPr>
            </w:pPr>
            <w:r w:rsidRPr="00260248">
              <w:rPr>
                <w:rFonts w:ascii="Calibri" w:eastAsia="Times New Roman" w:hAnsi="Calibri" w:cs="Times New Roman"/>
                <w:b/>
                <w:bCs/>
                <w:color w:val="000000"/>
                <w:sz w:val="20"/>
                <w:szCs w:val="20"/>
              </w:rPr>
              <w:t>(3.25‒15)</w:t>
            </w:r>
          </w:p>
        </w:tc>
        <w:tc>
          <w:tcPr>
            <w:tcW w:w="675" w:type="dxa"/>
            <w:gridSpan w:val="2"/>
            <w:vMerge/>
            <w:tcBorders>
              <w:top w:val="nil"/>
              <w:left w:val="nil"/>
              <w:bottom w:val="single" w:sz="18" w:space="0" w:color="auto"/>
              <w:right w:val="single" w:sz="4" w:space="0" w:color="auto"/>
            </w:tcBorders>
            <w:vAlign w:val="center"/>
            <w:hideMark/>
          </w:tcPr>
          <w:p w14:paraId="4F242C2C" w14:textId="77777777" w:rsidR="00ED1DBF" w:rsidRPr="00260248" w:rsidRDefault="00ED1DBF" w:rsidP="00D30DFD">
            <w:pPr>
              <w:spacing w:after="0" w:line="240" w:lineRule="auto"/>
              <w:rPr>
                <w:rFonts w:ascii="Calibri" w:eastAsia="Times New Roman" w:hAnsi="Calibri" w:cs="Times New Roman"/>
                <w:b/>
                <w:bCs/>
                <w:color w:val="000000"/>
                <w:sz w:val="20"/>
                <w:szCs w:val="20"/>
              </w:rPr>
            </w:pPr>
          </w:p>
        </w:tc>
        <w:tc>
          <w:tcPr>
            <w:tcW w:w="848" w:type="dxa"/>
            <w:gridSpan w:val="2"/>
            <w:tcBorders>
              <w:top w:val="nil"/>
              <w:left w:val="nil"/>
              <w:bottom w:val="single" w:sz="18" w:space="0" w:color="auto"/>
              <w:right w:val="nil"/>
            </w:tcBorders>
            <w:shd w:val="clear" w:color="000000" w:fill="DCE6F1"/>
            <w:noWrap/>
            <w:vAlign w:val="center"/>
            <w:hideMark/>
          </w:tcPr>
          <w:p w14:paraId="39BF8098"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7</w:t>
            </w:r>
          </w:p>
        </w:tc>
        <w:tc>
          <w:tcPr>
            <w:tcW w:w="1407" w:type="dxa"/>
            <w:gridSpan w:val="2"/>
            <w:tcBorders>
              <w:top w:val="nil"/>
              <w:left w:val="nil"/>
              <w:bottom w:val="single" w:sz="18" w:space="0" w:color="auto"/>
              <w:right w:val="nil"/>
            </w:tcBorders>
            <w:shd w:val="clear" w:color="000000" w:fill="DCE6F1"/>
            <w:noWrap/>
            <w:vAlign w:val="center"/>
            <w:hideMark/>
          </w:tcPr>
          <w:p w14:paraId="02B518E5" w14:textId="77777777" w:rsidR="00ED1DBF" w:rsidRPr="00260248" w:rsidRDefault="00ED1DBF" w:rsidP="00D30DFD">
            <w:pPr>
              <w:spacing w:after="0" w:line="240" w:lineRule="auto"/>
              <w:jc w:val="center"/>
              <w:rPr>
                <w:rFonts w:ascii="Calibri" w:eastAsia="Times New Roman" w:hAnsi="Calibri" w:cs="Times New Roman"/>
                <w:color w:val="000000"/>
                <w:sz w:val="20"/>
                <w:szCs w:val="20"/>
              </w:rPr>
            </w:pPr>
            <w:r w:rsidRPr="00260248">
              <w:rPr>
                <w:rFonts w:ascii="Calibri" w:eastAsia="Times New Roman" w:hAnsi="Calibri" w:cs="Times New Roman"/>
                <w:color w:val="000000"/>
                <w:sz w:val="20"/>
                <w:szCs w:val="20"/>
              </w:rPr>
              <w:t>(3.5‒16)</w:t>
            </w:r>
          </w:p>
        </w:tc>
        <w:tc>
          <w:tcPr>
            <w:tcW w:w="727" w:type="dxa"/>
            <w:gridSpan w:val="2"/>
            <w:vMerge/>
            <w:tcBorders>
              <w:top w:val="nil"/>
              <w:left w:val="nil"/>
              <w:bottom w:val="single" w:sz="18" w:space="0" w:color="auto"/>
              <w:right w:val="single" w:sz="4" w:space="0" w:color="auto"/>
            </w:tcBorders>
            <w:vAlign w:val="center"/>
            <w:hideMark/>
          </w:tcPr>
          <w:p w14:paraId="7888BC37" w14:textId="77777777" w:rsidR="00ED1DBF" w:rsidRPr="00260248" w:rsidRDefault="00ED1DBF" w:rsidP="00D30DFD">
            <w:pPr>
              <w:spacing w:after="0" w:line="240" w:lineRule="auto"/>
              <w:rPr>
                <w:rFonts w:ascii="Calibri" w:eastAsia="Times New Roman" w:hAnsi="Calibri" w:cs="Times New Roman"/>
                <w:color w:val="000000"/>
                <w:sz w:val="20"/>
                <w:szCs w:val="20"/>
              </w:rPr>
            </w:pPr>
          </w:p>
        </w:tc>
        <w:tc>
          <w:tcPr>
            <w:tcW w:w="2554" w:type="dxa"/>
            <w:gridSpan w:val="6"/>
            <w:vMerge/>
            <w:tcBorders>
              <w:top w:val="single" w:sz="4" w:space="0" w:color="auto"/>
              <w:left w:val="single" w:sz="4" w:space="0" w:color="auto"/>
              <w:bottom w:val="single" w:sz="18" w:space="0" w:color="auto"/>
              <w:right w:val="single" w:sz="18" w:space="0" w:color="auto"/>
            </w:tcBorders>
            <w:vAlign w:val="center"/>
            <w:hideMark/>
          </w:tcPr>
          <w:p w14:paraId="30A97E93" w14:textId="77777777" w:rsidR="00ED1DBF" w:rsidRPr="00260248" w:rsidRDefault="00ED1DBF" w:rsidP="00D30DFD">
            <w:pPr>
              <w:spacing w:after="0" w:line="240" w:lineRule="auto"/>
              <w:rPr>
                <w:rFonts w:ascii="Calibri" w:eastAsia="Times New Roman" w:hAnsi="Calibri" w:cs="Times New Roman"/>
                <w:color w:val="000000"/>
                <w:sz w:val="20"/>
                <w:szCs w:val="20"/>
              </w:rPr>
            </w:pPr>
          </w:p>
        </w:tc>
      </w:tr>
      <w:tr w:rsidR="00ED1DBF" w:rsidRPr="00260248" w14:paraId="03B17D91" w14:textId="77777777" w:rsidTr="00915145">
        <w:trPr>
          <w:trHeight w:val="300"/>
        </w:trPr>
        <w:tc>
          <w:tcPr>
            <w:tcW w:w="10241" w:type="dxa"/>
            <w:gridSpan w:val="22"/>
            <w:tcBorders>
              <w:top w:val="single" w:sz="18" w:space="0" w:color="auto"/>
              <w:left w:val="nil"/>
              <w:bottom w:val="nil"/>
              <w:right w:val="nil"/>
            </w:tcBorders>
            <w:shd w:val="clear" w:color="auto" w:fill="auto"/>
            <w:noWrap/>
            <w:vAlign w:val="bottom"/>
            <w:hideMark/>
          </w:tcPr>
          <w:p w14:paraId="78DAF9E3" w14:textId="77777777" w:rsidR="00ED1DBF" w:rsidRPr="00260248" w:rsidRDefault="00ED1DBF" w:rsidP="00D30DFD">
            <w:pPr>
              <w:spacing w:after="0" w:line="240" w:lineRule="auto"/>
              <w:rPr>
                <w:rFonts w:ascii="Calibri" w:eastAsia="Times New Roman" w:hAnsi="Calibri" w:cs="Times New Roman"/>
                <w:i/>
                <w:iCs/>
                <w:color w:val="000000"/>
                <w:sz w:val="20"/>
                <w:szCs w:val="20"/>
              </w:rPr>
            </w:pPr>
            <w:r w:rsidRPr="00260248">
              <w:rPr>
                <w:rFonts w:ascii="Calibri" w:eastAsia="Times New Roman" w:hAnsi="Calibri" w:cs="Times New Roman"/>
                <w:i/>
                <w:iCs/>
                <w:color w:val="000000"/>
                <w:sz w:val="20"/>
                <w:szCs w:val="20"/>
              </w:rPr>
              <w:t>Eat-10: 0= best score, SWAL-QOL: 100= best score</w:t>
            </w:r>
          </w:p>
        </w:tc>
      </w:tr>
      <w:tr w:rsidR="00ED1DBF" w:rsidRPr="00260248" w14:paraId="46E5B552" w14:textId="77777777" w:rsidTr="00915145">
        <w:trPr>
          <w:trHeight w:val="300"/>
        </w:trPr>
        <w:tc>
          <w:tcPr>
            <w:tcW w:w="10241" w:type="dxa"/>
            <w:gridSpan w:val="22"/>
            <w:tcBorders>
              <w:top w:val="nil"/>
              <w:left w:val="nil"/>
              <w:bottom w:val="nil"/>
              <w:right w:val="nil"/>
            </w:tcBorders>
            <w:shd w:val="clear" w:color="auto" w:fill="auto"/>
            <w:noWrap/>
            <w:hideMark/>
          </w:tcPr>
          <w:p w14:paraId="4B2AE024" w14:textId="77777777" w:rsidR="00ED1DBF" w:rsidRPr="00260248" w:rsidRDefault="00ED1DBF" w:rsidP="00D30DFD">
            <w:pPr>
              <w:spacing w:after="0" w:line="240" w:lineRule="auto"/>
              <w:rPr>
                <w:rFonts w:ascii="Calibri" w:eastAsia="Times New Roman" w:hAnsi="Calibri" w:cs="Times New Roman"/>
                <w:i/>
                <w:iCs/>
                <w:color w:val="000000"/>
                <w:sz w:val="20"/>
                <w:szCs w:val="20"/>
              </w:rPr>
            </w:pPr>
            <w:r w:rsidRPr="00260248">
              <w:rPr>
                <w:rFonts w:ascii="Calibri" w:eastAsia="Times New Roman" w:hAnsi="Calibri" w:cs="Times New Roman"/>
                <w:i/>
                <w:iCs/>
                <w:color w:val="000000"/>
                <w:sz w:val="20"/>
                <w:szCs w:val="20"/>
              </w:rPr>
              <w:t xml:space="preserve">Modified for Inpatient Stay Eat-10: Sum of questions (8 out of 10) determined to be relevant for inpatient stay </w:t>
            </w:r>
          </w:p>
        </w:tc>
      </w:tr>
      <w:tr w:rsidR="00ED1DBF" w:rsidRPr="00260248" w14:paraId="7B047FB1" w14:textId="77777777" w:rsidTr="00915145">
        <w:trPr>
          <w:trHeight w:val="87"/>
        </w:trPr>
        <w:tc>
          <w:tcPr>
            <w:tcW w:w="10241" w:type="dxa"/>
            <w:gridSpan w:val="22"/>
            <w:tcBorders>
              <w:top w:val="nil"/>
              <w:left w:val="nil"/>
              <w:bottom w:val="nil"/>
              <w:right w:val="nil"/>
            </w:tcBorders>
            <w:shd w:val="clear" w:color="auto" w:fill="auto"/>
            <w:noWrap/>
            <w:vAlign w:val="bottom"/>
            <w:hideMark/>
          </w:tcPr>
          <w:p w14:paraId="7569E85F" w14:textId="77777777" w:rsidR="00ED1DBF" w:rsidRPr="00260248" w:rsidRDefault="00ED1DBF" w:rsidP="00D30DFD">
            <w:pPr>
              <w:spacing w:after="0" w:line="240" w:lineRule="auto"/>
              <w:rPr>
                <w:rFonts w:ascii="Calibri" w:eastAsia="Times New Roman" w:hAnsi="Calibri" w:cs="Times New Roman"/>
                <w:i/>
                <w:iCs/>
                <w:color w:val="000000"/>
                <w:sz w:val="20"/>
                <w:szCs w:val="20"/>
              </w:rPr>
            </w:pPr>
            <w:r w:rsidRPr="00260248">
              <w:rPr>
                <w:rFonts w:ascii="Calibri" w:eastAsia="Times New Roman" w:hAnsi="Calibri" w:cs="Times New Roman"/>
                <w:i/>
                <w:iCs/>
                <w:color w:val="000000"/>
                <w:sz w:val="20"/>
                <w:szCs w:val="20"/>
              </w:rPr>
              <w:t xml:space="preserve">IQR: Interquartile range (Q1-Q3)    </w:t>
            </w:r>
            <w:r w:rsidRPr="001342CE">
              <w:rPr>
                <w:rFonts w:eastAsia="Times New Roman" w:cs="Times New Roman"/>
                <w:i/>
                <w:iCs/>
                <w:color w:val="000000"/>
                <w:sz w:val="20"/>
                <w:szCs w:val="20"/>
              </w:rPr>
              <w:t xml:space="preserve">  </w:t>
            </w:r>
            <w:r>
              <w:rPr>
                <w:rFonts w:eastAsia="Times New Roman" w:cs="Times New Roman"/>
                <w:i/>
                <w:iCs/>
                <w:color w:val="000000"/>
                <w:sz w:val="20"/>
                <w:szCs w:val="20"/>
              </w:rPr>
              <w:t xml:space="preserve"> C:Control arm    S:Steroid arm</w:t>
            </w:r>
          </w:p>
        </w:tc>
      </w:tr>
    </w:tbl>
    <w:p w14:paraId="76A39AD0" w14:textId="77777777" w:rsidR="00ED1DBF" w:rsidRDefault="00ED1DBF" w:rsidP="00ED1DBF"/>
    <w:p w14:paraId="7D7724F4" w14:textId="77777777" w:rsidR="00ED1DBF" w:rsidRDefault="00ED1DBF" w:rsidP="00ED1DBF"/>
    <w:tbl>
      <w:tblPr>
        <w:tblW w:w="13056" w:type="dxa"/>
        <w:tblInd w:w="108" w:type="dxa"/>
        <w:tblLook w:val="04A0" w:firstRow="1" w:lastRow="0" w:firstColumn="1" w:lastColumn="0" w:noHBand="0" w:noVBand="1"/>
      </w:tblPr>
      <w:tblGrid>
        <w:gridCol w:w="1573"/>
        <w:gridCol w:w="361"/>
        <w:gridCol w:w="839"/>
        <w:gridCol w:w="1271"/>
        <w:gridCol w:w="672"/>
        <w:gridCol w:w="839"/>
        <w:gridCol w:w="1271"/>
        <w:gridCol w:w="672"/>
        <w:gridCol w:w="839"/>
        <w:gridCol w:w="1271"/>
        <w:gridCol w:w="672"/>
        <w:gridCol w:w="839"/>
        <w:gridCol w:w="1271"/>
        <w:gridCol w:w="666"/>
      </w:tblGrid>
      <w:tr w:rsidR="00ED1DBF" w:rsidRPr="00260248" w14:paraId="2CFB3537" w14:textId="77777777" w:rsidTr="00D30DFD">
        <w:trPr>
          <w:trHeight w:val="315"/>
        </w:trPr>
        <w:tc>
          <w:tcPr>
            <w:tcW w:w="13056" w:type="dxa"/>
            <w:gridSpan w:val="14"/>
            <w:tcBorders>
              <w:top w:val="nil"/>
              <w:left w:val="nil"/>
              <w:bottom w:val="single" w:sz="18" w:space="0" w:color="auto"/>
              <w:right w:val="nil"/>
            </w:tcBorders>
            <w:shd w:val="clear" w:color="auto" w:fill="auto"/>
            <w:noWrap/>
            <w:hideMark/>
          </w:tcPr>
          <w:p w14:paraId="5ED1AD88" w14:textId="72FC4066" w:rsidR="00ED1DBF" w:rsidRPr="00260248" w:rsidRDefault="00ED1DBF" w:rsidP="00C651CA">
            <w:pPr>
              <w:spacing w:after="0" w:line="240" w:lineRule="auto"/>
              <w:rPr>
                <w:rFonts w:eastAsia="Times New Roman" w:cs="Times New Roman"/>
                <w:b/>
                <w:bCs/>
                <w:color w:val="000000"/>
                <w:sz w:val="20"/>
                <w:szCs w:val="20"/>
              </w:rPr>
            </w:pPr>
            <w:r w:rsidRPr="001342CE">
              <w:rPr>
                <w:rFonts w:eastAsia="Times New Roman" w:cs="Times New Roman"/>
                <w:b/>
                <w:bCs/>
                <w:color w:val="000000"/>
                <w:sz w:val="20"/>
                <w:szCs w:val="20"/>
              </w:rPr>
              <w:t xml:space="preserve">Table </w:t>
            </w:r>
            <w:r>
              <w:rPr>
                <w:rFonts w:eastAsia="Times New Roman" w:cs="Times New Roman"/>
                <w:b/>
                <w:bCs/>
                <w:color w:val="000000"/>
                <w:sz w:val="20"/>
                <w:szCs w:val="20"/>
              </w:rPr>
              <w:t>6</w:t>
            </w:r>
            <w:r w:rsidRPr="001342CE">
              <w:rPr>
                <w:rFonts w:eastAsia="Times New Roman" w:cs="Times New Roman"/>
                <w:b/>
                <w:bCs/>
                <w:color w:val="000000"/>
                <w:sz w:val="20"/>
                <w:szCs w:val="20"/>
              </w:rPr>
              <w:t xml:space="preserve">: </w:t>
            </w:r>
            <w:r>
              <w:rPr>
                <w:rFonts w:eastAsia="Times New Roman" w:cs="Times New Roman"/>
                <w:b/>
                <w:bCs/>
                <w:color w:val="000000"/>
                <w:sz w:val="20"/>
                <w:szCs w:val="20"/>
              </w:rPr>
              <w:t>Comparison of the median EAST-10 scores for different time-points</w:t>
            </w:r>
          </w:p>
        </w:tc>
      </w:tr>
      <w:tr w:rsidR="00ED1DBF" w:rsidRPr="00260248" w14:paraId="5530765C" w14:textId="77777777" w:rsidTr="00D30DFD">
        <w:trPr>
          <w:trHeight w:val="300"/>
        </w:trPr>
        <w:tc>
          <w:tcPr>
            <w:tcW w:w="1934" w:type="dxa"/>
            <w:gridSpan w:val="2"/>
            <w:vMerge w:val="restart"/>
            <w:tcBorders>
              <w:top w:val="single" w:sz="18" w:space="0" w:color="auto"/>
              <w:left w:val="single" w:sz="18" w:space="0" w:color="auto"/>
              <w:bottom w:val="nil"/>
              <w:right w:val="single" w:sz="4" w:space="0" w:color="000000"/>
            </w:tcBorders>
            <w:shd w:val="clear" w:color="auto" w:fill="auto"/>
            <w:noWrap/>
            <w:vAlign w:val="center"/>
            <w:hideMark/>
          </w:tcPr>
          <w:p w14:paraId="3C354DA8" w14:textId="77777777" w:rsidR="00ED1DBF" w:rsidRPr="00260248" w:rsidRDefault="00ED1DBF" w:rsidP="00D30DFD">
            <w:pPr>
              <w:spacing w:after="0" w:line="240" w:lineRule="auto"/>
              <w:jc w:val="center"/>
              <w:rPr>
                <w:rFonts w:eastAsia="Times New Roman" w:cs="Times New Roman"/>
                <w:b/>
                <w:bCs/>
                <w:color w:val="000000"/>
                <w:sz w:val="20"/>
                <w:szCs w:val="20"/>
              </w:rPr>
            </w:pPr>
          </w:p>
        </w:tc>
        <w:tc>
          <w:tcPr>
            <w:tcW w:w="2782" w:type="dxa"/>
            <w:gridSpan w:val="3"/>
            <w:tcBorders>
              <w:top w:val="single" w:sz="18" w:space="0" w:color="auto"/>
              <w:left w:val="nil"/>
              <w:bottom w:val="nil"/>
              <w:right w:val="single" w:sz="4" w:space="0" w:color="000000"/>
            </w:tcBorders>
            <w:shd w:val="clear" w:color="auto" w:fill="auto"/>
            <w:noWrap/>
            <w:vAlign w:val="center"/>
            <w:hideMark/>
          </w:tcPr>
          <w:p w14:paraId="63F0F53B"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Pre-Op ( C N=29, S N=30)</w:t>
            </w:r>
          </w:p>
        </w:tc>
        <w:tc>
          <w:tcPr>
            <w:tcW w:w="2782" w:type="dxa"/>
            <w:gridSpan w:val="3"/>
            <w:tcBorders>
              <w:top w:val="single" w:sz="18" w:space="0" w:color="auto"/>
              <w:left w:val="nil"/>
              <w:bottom w:val="nil"/>
              <w:right w:val="single" w:sz="4" w:space="0" w:color="000000"/>
            </w:tcBorders>
            <w:shd w:val="clear" w:color="auto" w:fill="auto"/>
            <w:noWrap/>
            <w:vAlign w:val="center"/>
            <w:hideMark/>
          </w:tcPr>
          <w:p w14:paraId="2DFCB20D"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b/>
                <w:bCs/>
                <w:color w:val="000000"/>
                <w:sz w:val="20"/>
                <w:szCs w:val="20"/>
              </w:rPr>
              <w:t xml:space="preserve">POD1 </w:t>
            </w:r>
            <w:r w:rsidRPr="00260248">
              <w:rPr>
                <w:rFonts w:eastAsia="Times New Roman" w:cs="Times New Roman"/>
                <w:color w:val="000000"/>
                <w:sz w:val="20"/>
                <w:szCs w:val="20"/>
              </w:rPr>
              <w:t>( C N=28, S N=28)</w:t>
            </w:r>
          </w:p>
        </w:tc>
        <w:tc>
          <w:tcPr>
            <w:tcW w:w="2782" w:type="dxa"/>
            <w:gridSpan w:val="3"/>
            <w:tcBorders>
              <w:top w:val="single" w:sz="18" w:space="0" w:color="auto"/>
              <w:left w:val="nil"/>
              <w:bottom w:val="nil"/>
              <w:right w:val="single" w:sz="4" w:space="0" w:color="000000"/>
            </w:tcBorders>
            <w:shd w:val="clear" w:color="auto" w:fill="auto"/>
            <w:noWrap/>
            <w:vAlign w:val="center"/>
            <w:hideMark/>
          </w:tcPr>
          <w:p w14:paraId="5247597D"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b/>
                <w:bCs/>
                <w:color w:val="000000"/>
                <w:sz w:val="20"/>
                <w:szCs w:val="20"/>
              </w:rPr>
              <w:t>POD2</w:t>
            </w:r>
            <w:r w:rsidRPr="00260248">
              <w:rPr>
                <w:rFonts w:eastAsia="Times New Roman" w:cs="Times New Roman"/>
                <w:color w:val="000000"/>
                <w:sz w:val="20"/>
                <w:szCs w:val="20"/>
              </w:rPr>
              <w:t xml:space="preserve"> (C N=25, S N=24)</w:t>
            </w:r>
          </w:p>
        </w:tc>
        <w:tc>
          <w:tcPr>
            <w:tcW w:w="2776" w:type="dxa"/>
            <w:gridSpan w:val="3"/>
            <w:tcBorders>
              <w:top w:val="single" w:sz="18" w:space="0" w:color="auto"/>
              <w:left w:val="nil"/>
              <w:bottom w:val="nil"/>
              <w:right w:val="single" w:sz="18" w:space="0" w:color="auto"/>
            </w:tcBorders>
            <w:shd w:val="clear" w:color="auto" w:fill="auto"/>
            <w:noWrap/>
            <w:vAlign w:val="center"/>
            <w:hideMark/>
          </w:tcPr>
          <w:p w14:paraId="1640F62A"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b/>
                <w:bCs/>
                <w:color w:val="000000"/>
                <w:sz w:val="20"/>
                <w:szCs w:val="20"/>
              </w:rPr>
              <w:t>M1</w:t>
            </w:r>
            <w:r w:rsidRPr="00260248">
              <w:rPr>
                <w:rFonts w:eastAsia="Times New Roman" w:cs="Times New Roman"/>
                <w:color w:val="000000"/>
                <w:sz w:val="20"/>
                <w:szCs w:val="20"/>
              </w:rPr>
              <w:t xml:space="preserve"> (C N=27, S N=28)</w:t>
            </w:r>
          </w:p>
        </w:tc>
      </w:tr>
      <w:tr w:rsidR="00ED1DBF" w:rsidRPr="00260248" w14:paraId="1D05B6E5" w14:textId="77777777" w:rsidTr="00D30DFD">
        <w:trPr>
          <w:trHeight w:val="300"/>
        </w:trPr>
        <w:tc>
          <w:tcPr>
            <w:tcW w:w="1934" w:type="dxa"/>
            <w:gridSpan w:val="2"/>
            <w:vMerge/>
            <w:tcBorders>
              <w:top w:val="single" w:sz="8" w:space="0" w:color="auto"/>
              <w:left w:val="single" w:sz="18" w:space="0" w:color="auto"/>
              <w:bottom w:val="single" w:sz="18" w:space="0" w:color="auto"/>
              <w:right w:val="single" w:sz="4" w:space="0" w:color="000000"/>
            </w:tcBorders>
            <w:vAlign w:val="center"/>
            <w:hideMark/>
          </w:tcPr>
          <w:p w14:paraId="3F397DBD" w14:textId="77777777" w:rsidR="00ED1DBF" w:rsidRPr="00260248" w:rsidRDefault="00ED1DBF" w:rsidP="00D30DFD">
            <w:pPr>
              <w:spacing w:after="0" w:line="240" w:lineRule="auto"/>
              <w:jc w:val="center"/>
              <w:rPr>
                <w:rFonts w:eastAsia="Times New Roman" w:cs="Times New Roman"/>
                <w:b/>
                <w:bCs/>
                <w:color w:val="000000"/>
                <w:sz w:val="20"/>
                <w:szCs w:val="20"/>
              </w:rPr>
            </w:pPr>
          </w:p>
        </w:tc>
        <w:tc>
          <w:tcPr>
            <w:tcW w:w="839" w:type="dxa"/>
            <w:tcBorders>
              <w:top w:val="nil"/>
              <w:left w:val="nil"/>
              <w:bottom w:val="single" w:sz="18" w:space="0" w:color="auto"/>
              <w:right w:val="nil"/>
            </w:tcBorders>
            <w:shd w:val="clear" w:color="auto" w:fill="auto"/>
            <w:noWrap/>
            <w:vAlign w:val="center"/>
            <w:hideMark/>
          </w:tcPr>
          <w:p w14:paraId="1B999F18"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Median</w:t>
            </w:r>
          </w:p>
        </w:tc>
        <w:tc>
          <w:tcPr>
            <w:tcW w:w="1271" w:type="dxa"/>
            <w:tcBorders>
              <w:top w:val="nil"/>
              <w:left w:val="nil"/>
              <w:bottom w:val="single" w:sz="18" w:space="0" w:color="auto"/>
              <w:right w:val="nil"/>
            </w:tcBorders>
            <w:shd w:val="clear" w:color="auto" w:fill="auto"/>
            <w:noWrap/>
            <w:vAlign w:val="center"/>
            <w:hideMark/>
          </w:tcPr>
          <w:p w14:paraId="6F79109E"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IQR</w:t>
            </w:r>
          </w:p>
        </w:tc>
        <w:tc>
          <w:tcPr>
            <w:tcW w:w="672" w:type="dxa"/>
            <w:tcBorders>
              <w:top w:val="nil"/>
              <w:left w:val="nil"/>
              <w:bottom w:val="single" w:sz="18" w:space="0" w:color="auto"/>
              <w:right w:val="single" w:sz="4" w:space="0" w:color="auto"/>
            </w:tcBorders>
            <w:shd w:val="clear" w:color="auto" w:fill="auto"/>
            <w:noWrap/>
            <w:vAlign w:val="center"/>
            <w:hideMark/>
          </w:tcPr>
          <w:p w14:paraId="127F6062"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P</w:t>
            </w:r>
          </w:p>
        </w:tc>
        <w:tc>
          <w:tcPr>
            <w:tcW w:w="839" w:type="dxa"/>
            <w:tcBorders>
              <w:top w:val="nil"/>
              <w:left w:val="nil"/>
              <w:bottom w:val="single" w:sz="18" w:space="0" w:color="auto"/>
              <w:right w:val="nil"/>
            </w:tcBorders>
            <w:shd w:val="clear" w:color="auto" w:fill="auto"/>
            <w:noWrap/>
            <w:vAlign w:val="center"/>
            <w:hideMark/>
          </w:tcPr>
          <w:p w14:paraId="3BA14121"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Median</w:t>
            </w:r>
          </w:p>
        </w:tc>
        <w:tc>
          <w:tcPr>
            <w:tcW w:w="1271" w:type="dxa"/>
            <w:tcBorders>
              <w:top w:val="nil"/>
              <w:left w:val="nil"/>
              <w:bottom w:val="single" w:sz="18" w:space="0" w:color="auto"/>
              <w:right w:val="nil"/>
            </w:tcBorders>
            <w:shd w:val="clear" w:color="auto" w:fill="auto"/>
            <w:noWrap/>
            <w:vAlign w:val="center"/>
            <w:hideMark/>
          </w:tcPr>
          <w:p w14:paraId="344C6B4D"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IQR</w:t>
            </w:r>
          </w:p>
        </w:tc>
        <w:tc>
          <w:tcPr>
            <w:tcW w:w="672" w:type="dxa"/>
            <w:tcBorders>
              <w:top w:val="nil"/>
              <w:left w:val="nil"/>
              <w:bottom w:val="single" w:sz="18" w:space="0" w:color="auto"/>
              <w:right w:val="single" w:sz="4" w:space="0" w:color="auto"/>
            </w:tcBorders>
            <w:shd w:val="clear" w:color="auto" w:fill="auto"/>
            <w:noWrap/>
            <w:vAlign w:val="center"/>
            <w:hideMark/>
          </w:tcPr>
          <w:p w14:paraId="72BD3A6B"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P</w:t>
            </w:r>
          </w:p>
        </w:tc>
        <w:tc>
          <w:tcPr>
            <w:tcW w:w="839" w:type="dxa"/>
            <w:tcBorders>
              <w:top w:val="nil"/>
              <w:left w:val="nil"/>
              <w:bottom w:val="single" w:sz="18" w:space="0" w:color="auto"/>
              <w:right w:val="nil"/>
            </w:tcBorders>
            <w:shd w:val="clear" w:color="auto" w:fill="auto"/>
            <w:noWrap/>
            <w:vAlign w:val="center"/>
            <w:hideMark/>
          </w:tcPr>
          <w:p w14:paraId="607705B8"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Median</w:t>
            </w:r>
          </w:p>
        </w:tc>
        <w:tc>
          <w:tcPr>
            <w:tcW w:w="1271" w:type="dxa"/>
            <w:tcBorders>
              <w:top w:val="nil"/>
              <w:left w:val="nil"/>
              <w:bottom w:val="single" w:sz="18" w:space="0" w:color="auto"/>
              <w:right w:val="nil"/>
            </w:tcBorders>
            <w:shd w:val="clear" w:color="auto" w:fill="auto"/>
            <w:noWrap/>
            <w:vAlign w:val="center"/>
            <w:hideMark/>
          </w:tcPr>
          <w:p w14:paraId="51233E95"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IQR</w:t>
            </w:r>
          </w:p>
        </w:tc>
        <w:tc>
          <w:tcPr>
            <w:tcW w:w="672" w:type="dxa"/>
            <w:tcBorders>
              <w:top w:val="nil"/>
              <w:left w:val="nil"/>
              <w:bottom w:val="single" w:sz="18" w:space="0" w:color="auto"/>
              <w:right w:val="single" w:sz="4" w:space="0" w:color="auto"/>
            </w:tcBorders>
            <w:shd w:val="clear" w:color="auto" w:fill="auto"/>
            <w:noWrap/>
            <w:vAlign w:val="center"/>
            <w:hideMark/>
          </w:tcPr>
          <w:p w14:paraId="5024B2B2"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P</w:t>
            </w:r>
          </w:p>
        </w:tc>
        <w:tc>
          <w:tcPr>
            <w:tcW w:w="839" w:type="dxa"/>
            <w:tcBorders>
              <w:top w:val="nil"/>
              <w:left w:val="nil"/>
              <w:bottom w:val="single" w:sz="18" w:space="0" w:color="auto"/>
              <w:right w:val="nil"/>
            </w:tcBorders>
            <w:shd w:val="clear" w:color="auto" w:fill="auto"/>
            <w:noWrap/>
            <w:vAlign w:val="center"/>
            <w:hideMark/>
          </w:tcPr>
          <w:p w14:paraId="2AE824F7"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Median</w:t>
            </w:r>
          </w:p>
        </w:tc>
        <w:tc>
          <w:tcPr>
            <w:tcW w:w="1271" w:type="dxa"/>
            <w:tcBorders>
              <w:top w:val="nil"/>
              <w:left w:val="nil"/>
              <w:bottom w:val="single" w:sz="18" w:space="0" w:color="auto"/>
              <w:right w:val="nil"/>
            </w:tcBorders>
            <w:shd w:val="clear" w:color="auto" w:fill="auto"/>
            <w:noWrap/>
            <w:vAlign w:val="center"/>
            <w:hideMark/>
          </w:tcPr>
          <w:p w14:paraId="26DEEA74"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IQR</w:t>
            </w:r>
          </w:p>
        </w:tc>
        <w:tc>
          <w:tcPr>
            <w:tcW w:w="666" w:type="dxa"/>
            <w:tcBorders>
              <w:top w:val="nil"/>
              <w:left w:val="nil"/>
              <w:bottom w:val="single" w:sz="18" w:space="0" w:color="auto"/>
              <w:right w:val="single" w:sz="18" w:space="0" w:color="auto"/>
            </w:tcBorders>
            <w:shd w:val="clear" w:color="auto" w:fill="auto"/>
            <w:noWrap/>
            <w:vAlign w:val="center"/>
            <w:hideMark/>
          </w:tcPr>
          <w:p w14:paraId="50D52BFF"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P</w:t>
            </w:r>
          </w:p>
        </w:tc>
      </w:tr>
      <w:tr w:rsidR="00ED1DBF" w:rsidRPr="00260248" w14:paraId="63D603BE" w14:textId="77777777" w:rsidTr="00D30DFD">
        <w:trPr>
          <w:trHeight w:val="300"/>
        </w:trPr>
        <w:tc>
          <w:tcPr>
            <w:tcW w:w="1573" w:type="dxa"/>
            <w:vMerge w:val="restart"/>
            <w:tcBorders>
              <w:top w:val="single" w:sz="4" w:space="0" w:color="auto"/>
              <w:left w:val="single" w:sz="18" w:space="0" w:color="auto"/>
              <w:bottom w:val="single" w:sz="4" w:space="0" w:color="000000"/>
              <w:right w:val="nil"/>
            </w:tcBorders>
            <w:shd w:val="clear" w:color="auto" w:fill="auto"/>
            <w:vAlign w:val="center"/>
            <w:hideMark/>
          </w:tcPr>
          <w:p w14:paraId="7F46402F" w14:textId="77777777" w:rsidR="00ED1DBF" w:rsidRPr="00260248" w:rsidRDefault="00ED1DBF" w:rsidP="00D30DFD">
            <w:pPr>
              <w:spacing w:after="0" w:line="240" w:lineRule="auto"/>
              <w:jc w:val="center"/>
              <w:rPr>
                <w:rFonts w:eastAsia="Times New Roman" w:cs="Times New Roman"/>
                <w:b/>
                <w:bCs/>
                <w:color w:val="000000"/>
                <w:sz w:val="20"/>
                <w:szCs w:val="20"/>
              </w:rPr>
            </w:pPr>
            <w:r w:rsidRPr="00260248">
              <w:rPr>
                <w:rFonts w:eastAsia="Times New Roman" w:cs="Times New Roman"/>
                <w:b/>
                <w:bCs/>
                <w:color w:val="000000"/>
                <w:sz w:val="20"/>
                <w:szCs w:val="20"/>
              </w:rPr>
              <w:t xml:space="preserve">Standard </w:t>
            </w:r>
          </w:p>
        </w:tc>
        <w:tc>
          <w:tcPr>
            <w:tcW w:w="361" w:type="dxa"/>
            <w:tcBorders>
              <w:top w:val="single" w:sz="4" w:space="0" w:color="auto"/>
              <w:left w:val="nil"/>
              <w:bottom w:val="nil"/>
              <w:right w:val="single" w:sz="4" w:space="0" w:color="auto"/>
            </w:tcBorders>
            <w:shd w:val="clear" w:color="auto" w:fill="auto"/>
            <w:noWrap/>
            <w:vAlign w:val="bottom"/>
            <w:hideMark/>
          </w:tcPr>
          <w:p w14:paraId="451958D7" w14:textId="77777777" w:rsidR="00ED1DBF" w:rsidRPr="00260248" w:rsidRDefault="00ED1DBF" w:rsidP="00D30DFD">
            <w:pPr>
              <w:spacing w:after="0" w:line="240" w:lineRule="auto"/>
              <w:jc w:val="center"/>
              <w:rPr>
                <w:rFonts w:eastAsia="Times New Roman" w:cs="Times New Roman"/>
                <w:b/>
                <w:bCs/>
                <w:color w:val="000000"/>
                <w:sz w:val="20"/>
                <w:szCs w:val="20"/>
              </w:rPr>
            </w:pPr>
            <w:r w:rsidRPr="00260248">
              <w:rPr>
                <w:rFonts w:eastAsia="Times New Roman" w:cs="Times New Roman"/>
                <w:b/>
                <w:bCs/>
                <w:color w:val="000000"/>
                <w:sz w:val="20"/>
                <w:szCs w:val="20"/>
              </w:rPr>
              <w:t>C</w:t>
            </w:r>
          </w:p>
        </w:tc>
        <w:tc>
          <w:tcPr>
            <w:tcW w:w="839" w:type="dxa"/>
            <w:tcBorders>
              <w:top w:val="single" w:sz="4" w:space="0" w:color="auto"/>
              <w:left w:val="nil"/>
              <w:bottom w:val="nil"/>
              <w:right w:val="nil"/>
            </w:tcBorders>
            <w:shd w:val="clear" w:color="auto" w:fill="auto"/>
            <w:noWrap/>
            <w:vAlign w:val="bottom"/>
            <w:hideMark/>
          </w:tcPr>
          <w:p w14:paraId="7871FD0E"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0</w:t>
            </w:r>
          </w:p>
        </w:tc>
        <w:tc>
          <w:tcPr>
            <w:tcW w:w="1271" w:type="dxa"/>
            <w:tcBorders>
              <w:top w:val="single" w:sz="4" w:space="0" w:color="auto"/>
              <w:left w:val="nil"/>
              <w:bottom w:val="nil"/>
              <w:right w:val="nil"/>
            </w:tcBorders>
            <w:shd w:val="clear" w:color="auto" w:fill="auto"/>
            <w:noWrap/>
            <w:vAlign w:val="bottom"/>
            <w:hideMark/>
          </w:tcPr>
          <w:p w14:paraId="4805F0D4"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(0‒0)</w:t>
            </w:r>
          </w:p>
        </w:tc>
        <w:tc>
          <w:tcPr>
            <w:tcW w:w="672"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26F4E0D7"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0.415</w:t>
            </w:r>
          </w:p>
        </w:tc>
        <w:tc>
          <w:tcPr>
            <w:tcW w:w="839" w:type="dxa"/>
            <w:tcBorders>
              <w:top w:val="single" w:sz="4" w:space="0" w:color="auto"/>
              <w:left w:val="nil"/>
              <w:bottom w:val="nil"/>
              <w:right w:val="nil"/>
            </w:tcBorders>
            <w:shd w:val="clear" w:color="auto" w:fill="auto"/>
            <w:noWrap/>
            <w:vAlign w:val="center"/>
            <w:hideMark/>
          </w:tcPr>
          <w:p w14:paraId="1B625A32"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18</w:t>
            </w:r>
          </w:p>
        </w:tc>
        <w:tc>
          <w:tcPr>
            <w:tcW w:w="1271" w:type="dxa"/>
            <w:tcBorders>
              <w:top w:val="single" w:sz="4" w:space="0" w:color="auto"/>
              <w:left w:val="nil"/>
              <w:bottom w:val="nil"/>
              <w:right w:val="nil"/>
            </w:tcBorders>
            <w:shd w:val="clear" w:color="auto" w:fill="auto"/>
            <w:noWrap/>
            <w:vAlign w:val="center"/>
            <w:hideMark/>
          </w:tcPr>
          <w:p w14:paraId="272AEB96"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(7.25‒24.5)</w:t>
            </w:r>
          </w:p>
        </w:tc>
        <w:tc>
          <w:tcPr>
            <w:tcW w:w="672"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349C8E8B"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0.067</w:t>
            </w:r>
          </w:p>
        </w:tc>
        <w:tc>
          <w:tcPr>
            <w:tcW w:w="839" w:type="dxa"/>
            <w:tcBorders>
              <w:top w:val="single" w:sz="4" w:space="0" w:color="auto"/>
              <w:left w:val="nil"/>
              <w:bottom w:val="nil"/>
              <w:right w:val="nil"/>
            </w:tcBorders>
            <w:shd w:val="clear" w:color="auto" w:fill="auto"/>
            <w:noWrap/>
            <w:vAlign w:val="center"/>
            <w:hideMark/>
          </w:tcPr>
          <w:p w14:paraId="7515350C"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17</w:t>
            </w:r>
          </w:p>
        </w:tc>
        <w:tc>
          <w:tcPr>
            <w:tcW w:w="1271" w:type="dxa"/>
            <w:tcBorders>
              <w:top w:val="single" w:sz="4" w:space="0" w:color="auto"/>
              <w:left w:val="nil"/>
              <w:bottom w:val="nil"/>
              <w:right w:val="nil"/>
            </w:tcBorders>
            <w:shd w:val="clear" w:color="auto" w:fill="auto"/>
            <w:noWrap/>
            <w:vAlign w:val="center"/>
            <w:hideMark/>
          </w:tcPr>
          <w:p w14:paraId="49A1034C"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(7.5‒25.5)</w:t>
            </w:r>
          </w:p>
        </w:tc>
        <w:tc>
          <w:tcPr>
            <w:tcW w:w="672" w:type="dxa"/>
            <w:vMerge w:val="restart"/>
            <w:tcBorders>
              <w:top w:val="single" w:sz="4" w:space="0" w:color="auto"/>
              <w:left w:val="nil"/>
              <w:bottom w:val="single" w:sz="4" w:space="0" w:color="000000"/>
              <w:right w:val="single" w:sz="4" w:space="0" w:color="auto"/>
            </w:tcBorders>
            <w:shd w:val="clear" w:color="auto" w:fill="auto"/>
            <w:vAlign w:val="center"/>
            <w:hideMark/>
          </w:tcPr>
          <w:p w14:paraId="410850DA"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0.214</w:t>
            </w:r>
          </w:p>
        </w:tc>
        <w:tc>
          <w:tcPr>
            <w:tcW w:w="839" w:type="dxa"/>
            <w:tcBorders>
              <w:top w:val="single" w:sz="4" w:space="0" w:color="auto"/>
              <w:left w:val="nil"/>
              <w:bottom w:val="nil"/>
              <w:right w:val="nil"/>
            </w:tcBorders>
            <w:shd w:val="clear" w:color="auto" w:fill="auto"/>
            <w:noWrap/>
            <w:vAlign w:val="center"/>
            <w:hideMark/>
          </w:tcPr>
          <w:p w14:paraId="771297A7" w14:textId="77777777" w:rsidR="00ED1DBF" w:rsidRPr="00260248" w:rsidRDefault="00ED1DBF" w:rsidP="00D30DFD">
            <w:pPr>
              <w:spacing w:after="0" w:line="240" w:lineRule="auto"/>
              <w:jc w:val="center"/>
              <w:rPr>
                <w:rFonts w:eastAsia="Times New Roman" w:cs="Times New Roman"/>
                <w:b/>
                <w:bCs/>
                <w:color w:val="000000"/>
                <w:sz w:val="20"/>
                <w:szCs w:val="20"/>
              </w:rPr>
            </w:pPr>
            <w:r w:rsidRPr="00260248">
              <w:rPr>
                <w:rFonts w:eastAsia="Times New Roman" w:cs="Times New Roman"/>
                <w:b/>
                <w:bCs/>
                <w:color w:val="000000"/>
                <w:sz w:val="20"/>
                <w:szCs w:val="20"/>
              </w:rPr>
              <w:t>5</w:t>
            </w:r>
          </w:p>
        </w:tc>
        <w:tc>
          <w:tcPr>
            <w:tcW w:w="1271" w:type="dxa"/>
            <w:tcBorders>
              <w:top w:val="single" w:sz="4" w:space="0" w:color="auto"/>
              <w:left w:val="nil"/>
              <w:bottom w:val="nil"/>
              <w:right w:val="nil"/>
            </w:tcBorders>
            <w:shd w:val="clear" w:color="auto" w:fill="auto"/>
            <w:noWrap/>
            <w:vAlign w:val="center"/>
            <w:hideMark/>
          </w:tcPr>
          <w:p w14:paraId="1F50E76B" w14:textId="77777777" w:rsidR="00ED1DBF" w:rsidRPr="00260248" w:rsidRDefault="00ED1DBF" w:rsidP="00D30DFD">
            <w:pPr>
              <w:spacing w:after="0" w:line="240" w:lineRule="auto"/>
              <w:jc w:val="center"/>
              <w:rPr>
                <w:rFonts w:eastAsia="Times New Roman" w:cs="Times New Roman"/>
                <w:b/>
                <w:bCs/>
                <w:color w:val="000000"/>
                <w:sz w:val="20"/>
                <w:szCs w:val="20"/>
              </w:rPr>
            </w:pPr>
            <w:r w:rsidRPr="00260248">
              <w:rPr>
                <w:rFonts w:eastAsia="Times New Roman" w:cs="Times New Roman"/>
                <w:b/>
                <w:bCs/>
                <w:color w:val="000000"/>
                <w:sz w:val="20"/>
                <w:szCs w:val="20"/>
              </w:rPr>
              <w:t>(0‒10)</w:t>
            </w:r>
          </w:p>
        </w:tc>
        <w:tc>
          <w:tcPr>
            <w:tcW w:w="666" w:type="dxa"/>
            <w:vMerge w:val="restart"/>
            <w:tcBorders>
              <w:top w:val="single" w:sz="4" w:space="0" w:color="auto"/>
              <w:left w:val="nil"/>
              <w:bottom w:val="single" w:sz="4" w:space="0" w:color="000000"/>
              <w:right w:val="single" w:sz="18" w:space="0" w:color="auto"/>
            </w:tcBorders>
            <w:shd w:val="clear" w:color="auto" w:fill="auto"/>
            <w:noWrap/>
            <w:vAlign w:val="center"/>
            <w:hideMark/>
          </w:tcPr>
          <w:p w14:paraId="7DCAB02F" w14:textId="77777777" w:rsidR="00ED1DBF" w:rsidRPr="00260248" w:rsidRDefault="00ED1DBF" w:rsidP="00D30DFD">
            <w:pPr>
              <w:spacing w:after="0" w:line="240" w:lineRule="auto"/>
              <w:jc w:val="center"/>
              <w:rPr>
                <w:rFonts w:eastAsia="Times New Roman" w:cs="Times New Roman"/>
                <w:b/>
                <w:bCs/>
                <w:color w:val="000000"/>
                <w:sz w:val="20"/>
                <w:szCs w:val="20"/>
              </w:rPr>
            </w:pPr>
            <w:r w:rsidRPr="00260248">
              <w:rPr>
                <w:rFonts w:eastAsia="Times New Roman" w:cs="Times New Roman"/>
                <w:b/>
                <w:bCs/>
                <w:color w:val="000000"/>
                <w:sz w:val="20"/>
                <w:szCs w:val="20"/>
              </w:rPr>
              <w:t>0.03</w:t>
            </w:r>
          </w:p>
        </w:tc>
      </w:tr>
      <w:tr w:rsidR="00ED1DBF" w:rsidRPr="00260248" w14:paraId="55FFB3E3" w14:textId="77777777" w:rsidTr="00D30DFD">
        <w:trPr>
          <w:trHeight w:val="300"/>
        </w:trPr>
        <w:tc>
          <w:tcPr>
            <w:tcW w:w="1573" w:type="dxa"/>
            <w:vMerge/>
            <w:tcBorders>
              <w:top w:val="single" w:sz="4" w:space="0" w:color="auto"/>
              <w:left w:val="single" w:sz="18" w:space="0" w:color="auto"/>
              <w:bottom w:val="single" w:sz="4" w:space="0" w:color="000000"/>
              <w:right w:val="nil"/>
            </w:tcBorders>
            <w:vAlign w:val="center"/>
            <w:hideMark/>
          </w:tcPr>
          <w:p w14:paraId="245A75DA" w14:textId="77777777" w:rsidR="00ED1DBF" w:rsidRPr="00260248" w:rsidRDefault="00ED1DBF" w:rsidP="00D30DFD">
            <w:pPr>
              <w:spacing w:after="0" w:line="240" w:lineRule="auto"/>
              <w:rPr>
                <w:rFonts w:eastAsia="Times New Roman" w:cs="Times New Roman"/>
                <w:b/>
                <w:bCs/>
                <w:color w:val="000000"/>
                <w:sz w:val="20"/>
                <w:szCs w:val="20"/>
              </w:rPr>
            </w:pPr>
          </w:p>
        </w:tc>
        <w:tc>
          <w:tcPr>
            <w:tcW w:w="361" w:type="dxa"/>
            <w:tcBorders>
              <w:top w:val="nil"/>
              <w:left w:val="nil"/>
              <w:bottom w:val="single" w:sz="4" w:space="0" w:color="auto"/>
              <w:right w:val="single" w:sz="4" w:space="0" w:color="auto"/>
            </w:tcBorders>
            <w:shd w:val="clear" w:color="auto" w:fill="auto"/>
            <w:noWrap/>
            <w:vAlign w:val="bottom"/>
            <w:hideMark/>
          </w:tcPr>
          <w:p w14:paraId="3D680044" w14:textId="77777777" w:rsidR="00ED1DBF" w:rsidRPr="00260248" w:rsidRDefault="00ED1DBF" w:rsidP="00D30DFD">
            <w:pPr>
              <w:spacing w:after="0" w:line="240" w:lineRule="auto"/>
              <w:jc w:val="center"/>
              <w:rPr>
                <w:rFonts w:eastAsia="Times New Roman" w:cs="Times New Roman"/>
                <w:b/>
                <w:bCs/>
                <w:color w:val="000000"/>
                <w:sz w:val="20"/>
                <w:szCs w:val="20"/>
              </w:rPr>
            </w:pPr>
            <w:r w:rsidRPr="00260248">
              <w:rPr>
                <w:rFonts w:eastAsia="Times New Roman" w:cs="Times New Roman"/>
                <w:b/>
                <w:bCs/>
                <w:color w:val="000000"/>
                <w:sz w:val="20"/>
                <w:szCs w:val="20"/>
              </w:rPr>
              <w:t>S</w:t>
            </w:r>
          </w:p>
        </w:tc>
        <w:tc>
          <w:tcPr>
            <w:tcW w:w="839" w:type="dxa"/>
            <w:tcBorders>
              <w:top w:val="nil"/>
              <w:left w:val="nil"/>
              <w:bottom w:val="single" w:sz="4" w:space="0" w:color="auto"/>
              <w:right w:val="nil"/>
            </w:tcBorders>
            <w:shd w:val="clear" w:color="auto" w:fill="auto"/>
            <w:noWrap/>
            <w:vAlign w:val="bottom"/>
            <w:hideMark/>
          </w:tcPr>
          <w:p w14:paraId="59DF02E6"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0</w:t>
            </w:r>
          </w:p>
        </w:tc>
        <w:tc>
          <w:tcPr>
            <w:tcW w:w="1271" w:type="dxa"/>
            <w:tcBorders>
              <w:top w:val="nil"/>
              <w:left w:val="nil"/>
              <w:bottom w:val="single" w:sz="4" w:space="0" w:color="auto"/>
              <w:right w:val="nil"/>
            </w:tcBorders>
            <w:shd w:val="clear" w:color="auto" w:fill="auto"/>
            <w:noWrap/>
            <w:vAlign w:val="bottom"/>
            <w:hideMark/>
          </w:tcPr>
          <w:p w14:paraId="5B7F155C"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(0‒.25)</w:t>
            </w:r>
          </w:p>
        </w:tc>
        <w:tc>
          <w:tcPr>
            <w:tcW w:w="672" w:type="dxa"/>
            <w:vMerge/>
            <w:tcBorders>
              <w:top w:val="single" w:sz="4" w:space="0" w:color="auto"/>
              <w:left w:val="nil"/>
              <w:bottom w:val="single" w:sz="4" w:space="0" w:color="000000"/>
              <w:right w:val="single" w:sz="4" w:space="0" w:color="auto"/>
            </w:tcBorders>
            <w:vAlign w:val="center"/>
            <w:hideMark/>
          </w:tcPr>
          <w:p w14:paraId="3563422A" w14:textId="77777777" w:rsidR="00ED1DBF" w:rsidRPr="00260248" w:rsidRDefault="00ED1DBF" w:rsidP="00D30DFD">
            <w:pPr>
              <w:spacing w:after="0" w:line="240" w:lineRule="auto"/>
              <w:rPr>
                <w:rFonts w:eastAsia="Times New Roman" w:cs="Times New Roman"/>
                <w:color w:val="000000"/>
                <w:sz w:val="20"/>
                <w:szCs w:val="20"/>
              </w:rPr>
            </w:pPr>
          </w:p>
        </w:tc>
        <w:tc>
          <w:tcPr>
            <w:tcW w:w="839" w:type="dxa"/>
            <w:tcBorders>
              <w:top w:val="nil"/>
              <w:left w:val="nil"/>
              <w:bottom w:val="single" w:sz="4" w:space="0" w:color="auto"/>
              <w:right w:val="nil"/>
            </w:tcBorders>
            <w:shd w:val="clear" w:color="auto" w:fill="auto"/>
            <w:noWrap/>
            <w:vAlign w:val="center"/>
            <w:hideMark/>
          </w:tcPr>
          <w:p w14:paraId="3BEE13A2"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8</w:t>
            </w:r>
          </w:p>
        </w:tc>
        <w:tc>
          <w:tcPr>
            <w:tcW w:w="1271" w:type="dxa"/>
            <w:tcBorders>
              <w:top w:val="nil"/>
              <w:left w:val="nil"/>
              <w:bottom w:val="single" w:sz="4" w:space="0" w:color="auto"/>
              <w:right w:val="nil"/>
            </w:tcBorders>
            <w:shd w:val="clear" w:color="auto" w:fill="auto"/>
            <w:noWrap/>
            <w:vAlign w:val="center"/>
            <w:hideMark/>
          </w:tcPr>
          <w:p w14:paraId="3774078B"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(4‒20.75)</w:t>
            </w:r>
          </w:p>
        </w:tc>
        <w:tc>
          <w:tcPr>
            <w:tcW w:w="672" w:type="dxa"/>
            <w:vMerge/>
            <w:tcBorders>
              <w:top w:val="single" w:sz="4" w:space="0" w:color="auto"/>
              <w:left w:val="nil"/>
              <w:bottom w:val="single" w:sz="4" w:space="0" w:color="000000"/>
              <w:right w:val="single" w:sz="4" w:space="0" w:color="auto"/>
            </w:tcBorders>
            <w:vAlign w:val="center"/>
            <w:hideMark/>
          </w:tcPr>
          <w:p w14:paraId="7952233A" w14:textId="77777777" w:rsidR="00ED1DBF" w:rsidRPr="00260248" w:rsidRDefault="00ED1DBF" w:rsidP="00D30DFD">
            <w:pPr>
              <w:spacing w:after="0" w:line="240" w:lineRule="auto"/>
              <w:rPr>
                <w:rFonts w:eastAsia="Times New Roman" w:cs="Times New Roman"/>
                <w:color w:val="000000"/>
                <w:sz w:val="20"/>
                <w:szCs w:val="20"/>
              </w:rPr>
            </w:pPr>
          </w:p>
        </w:tc>
        <w:tc>
          <w:tcPr>
            <w:tcW w:w="839" w:type="dxa"/>
            <w:tcBorders>
              <w:top w:val="nil"/>
              <w:left w:val="nil"/>
              <w:bottom w:val="single" w:sz="4" w:space="0" w:color="auto"/>
              <w:right w:val="nil"/>
            </w:tcBorders>
            <w:shd w:val="clear" w:color="auto" w:fill="auto"/>
            <w:noWrap/>
            <w:vAlign w:val="center"/>
            <w:hideMark/>
          </w:tcPr>
          <w:p w14:paraId="5F1E7010"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15</w:t>
            </w:r>
          </w:p>
        </w:tc>
        <w:tc>
          <w:tcPr>
            <w:tcW w:w="1271" w:type="dxa"/>
            <w:tcBorders>
              <w:top w:val="nil"/>
              <w:left w:val="nil"/>
              <w:bottom w:val="single" w:sz="4" w:space="0" w:color="auto"/>
              <w:right w:val="nil"/>
            </w:tcBorders>
            <w:shd w:val="clear" w:color="auto" w:fill="auto"/>
            <w:noWrap/>
            <w:vAlign w:val="center"/>
            <w:hideMark/>
          </w:tcPr>
          <w:p w14:paraId="2DBE09BA"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(8‒25)</w:t>
            </w:r>
          </w:p>
        </w:tc>
        <w:tc>
          <w:tcPr>
            <w:tcW w:w="672" w:type="dxa"/>
            <w:vMerge/>
            <w:tcBorders>
              <w:top w:val="single" w:sz="4" w:space="0" w:color="auto"/>
              <w:left w:val="nil"/>
              <w:bottom w:val="single" w:sz="4" w:space="0" w:color="000000"/>
              <w:right w:val="single" w:sz="4" w:space="0" w:color="auto"/>
            </w:tcBorders>
            <w:vAlign w:val="center"/>
            <w:hideMark/>
          </w:tcPr>
          <w:p w14:paraId="6E87FE55" w14:textId="77777777" w:rsidR="00ED1DBF" w:rsidRPr="00260248" w:rsidRDefault="00ED1DBF" w:rsidP="00D30DFD">
            <w:pPr>
              <w:spacing w:after="0" w:line="240" w:lineRule="auto"/>
              <w:rPr>
                <w:rFonts w:eastAsia="Times New Roman" w:cs="Times New Roman"/>
                <w:color w:val="000000"/>
                <w:sz w:val="20"/>
                <w:szCs w:val="20"/>
              </w:rPr>
            </w:pPr>
          </w:p>
        </w:tc>
        <w:tc>
          <w:tcPr>
            <w:tcW w:w="839" w:type="dxa"/>
            <w:tcBorders>
              <w:top w:val="nil"/>
              <w:left w:val="nil"/>
              <w:bottom w:val="single" w:sz="4" w:space="0" w:color="auto"/>
              <w:right w:val="nil"/>
            </w:tcBorders>
            <w:shd w:val="clear" w:color="auto" w:fill="auto"/>
            <w:noWrap/>
            <w:vAlign w:val="center"/>
            <w:hideMark/>
          </w:tcPr>
          <w:p w14:paraId="7234F3F1" w14:textId="77777777" w:rsidR="00ED1DBF" w:rsidRPr="00260248" w:rsidRDefault="00ED1DBF" w:rsidP="00D30DFD">
            <w:pPr>
              <w:spacing w:after="0" w:line="240" w:lineRule="auto"/>
              <w:jc w:val="center"/>
              <w:rPr>
                <w:rFonts w:eastAsia="Times New Roman" w:cs="Times New Roman"/>
                <w:b/>
                <w:bCs/>
                <w:color w:val="000000"/>
                <w:sz w:val="20"/>
                <w:szCs w:val="20"/>
              </w:rPr>
            </w:pPr>
            <w:r w:rsidRPr="00260248">
              <w:rPr>
                <w:rFonts w:eastAsia="Times New Roman" w:cs="Times New Roman"/>
                <w:b/>
                <w:bCs/>
                <w:color w:val="000000"/>
                <w:sz w:val="20"/>
                <w:szCs w:val="20"/>
              </w:rPr>
              <w:t>0</w:t>
            </w:r>
          </w:p>
        </w:tc>
        <w:tc>
          <w:tcPr>
            <w:tcW w:w="1271" w:type="dxa"/>
            <w:tcBorders>
              <w:top w:val="nil"/>
              <w:left w:val="nil"/>
              <w:bottom w:val="single" w:sz="4" w:space="0" w:color="auto"/>
              <w:right w:val="nil"/>
            </w:tcBorders>
            <w:shd w:val="clear" w:color="auto" w:fill="auto"/>
            <w:noWrap/>
            <w:vAlign w:val="center"/>
            <w:hideMark/>
          </w:tcPr>
          <w:p w14:paraId="747F687F" w14:textId="77777777" w:rsidR="00ED1DBF" w:rsidRPr="00260248" w:rsidRDefault="00ED1DBF" w:rsidP="00D30DFD">
            <w:pPr>
              <w:spacing w:after="0" w:line="240" w:lineRule="auto"/>
              <w:jc w:val="center"/>
              <w:rPr>
                <w:rFonts w:eastAsia="Times New Roman" w:cs="Times New Roman"/>
                <w:b/>
                <w:bCs/>
                <w:color w:val="000000"/>
                <w:sz w:val="20"/>
                <w:szCs w:val="20"/>
              </w:rPr>
            </w:pPr>
            <w:r w:rsidRPr="00260248">
              <w:rPr>
                <w:rFonts w:eastAsia="Times New Roman" w:cs="Times New Roman"/>
                <w:b/>
                <w:bCs/>
                <w:color w:val="000000"/>
                <w:sz w:val="20"/>
                <w:szCs w:val="20"/>
              </w:rPr>
              <w:t>(0‒4.5)</w:t>
            </w:r>
          </w:p>
        </w:tc>
        <w:tc>
          <w:tcPr>
            <w:tcW w:w="666" w:type="dxa"/>
            <w:vMerge/>
            <w:tcBorders>
              <w:top w:val="single" w:sz="4" w:space="0" w:color="auto"/>
              <w:left w:val="nil"/>
              <w:bottom w:val="single" w:sz="4" w:space="0" w:color="000000"/>
              <w:right w:val="single" w:sz="18" w:space="0" w:color="auto"/>
            </w:tcBorders>
            <w:vAlign w:val="center"/>
            <w:hideMark/>
          </w:tcPr>
          <w:p w14:paraId="56D8CB65" w14:textId="77777777" w:rsidR="00ED1DBF" w:rsidRPr="00260248" w:rsidRDefault="00ED1DBF" w:rsidP="00D30DFD">
            <w:pPr>
              <w:spacing w:after="0" w:line="240" w:lineRule="auto"/>
              <w:rPr>
                <w:rFonts w:eastAsia="Times New Roman" w:cs="Times New Roman"/>
                <w:b/>
                <w:bCs/>
                <w:color w:val="000000"/>
                <w:sz w:val="20"/>
                <w:szCs w:val="20"/>
              </w:rPr>
            </w:pPr>
          </w:p>
        </w:tc>
      </w:tr>
      <w:tr w:rsidR="00ED1DBF" w:rsidRPr="00260248" w14:paraId="7C005FCC" w14:textId="77777777" w:rsidTr="00D30DFD">
        <w:trPr>
          <w:trHeight w:val="300"/>
        </w:trPr>
        <w:tc>
          <w:tcPr>
            <w:tcW w:w="1573" w:type="dxa"/>
            <w:vMerge w:val="restart"/>
            <w:tcBorders>
              <w:top w:val="nil"/>
              <w:left w:val="single" w:sz="18" w:space="0" w:color="auto"/>
              <w:bottom w:val="single" w:sz="8" w:space="0" w:color="000000"/>
              <w:right w:val="nil"/>
            </w:tcBorders>
            <w:shd w:val="clear" w:color="000000" w:fill="DCE6F1"/>
            <w:vAlign w:val="center"/>
            <w:hideMark/>
          </w:tcPr>
          <w:p w14:paraId="4DA4EF45" w14:textId="77777777" w:rsidR="00ED1DBF" w:rsidRPr="00260248" w:rsidRDefault="00ED1DBF" w:rsidP="00D30DFD">
            <w:pPr>
              <w:spacing w:after="0" w:line="240" w:lineRule="auto"/>
              <w:jc w:val="center"/>
              <w:rPr>
                <w:rFonts w:eastAsia="Times New Roman" w:cs="Times New Roman"/>
                <w:b/>
                <w:bCs/>
                <w:color w:val="000000"/>
                <w:sz w:val="20"/>
                <w:szCs w:val="20"/>
              </w:rPr>
            </w:pPr>
            <w:r w:rsidRPr="00260248">
              <w:rPr>
                <w:rFonts w:eastAsia="Times New Roman" w:cs="Times New Roman"/>
                <w:b/>
                <w:bCs/>
                <w:color w:val="000000"/>
                <w:sz w:val="20"/>
                <w:szCs w:val="20"/>
              </w:rPr>
              <w:t>Modified for Inpatient Stay</w:t>
            </w:r>
          </w:p>
        </w:tc>
        <w:tc>
          <w:tcPr>
            <w:tcW w:w="361" w:type="dxa"/>
            <w:tcBorders>
              <w:top w:val="nil"/>
              <w:left w:val="nil"/>
              <w:bottom w:val="nil"/>
              <w:right w:val="single" w:sz="4" w:space="0" w:color="auto"/>
            </w:tcBorders>
            <w:shd w:val="clear" w:color="000000" w:fill="DCE6F1"/>
            <w:noWrap/>
            <w:vAlign w:val="bottom"/>
            <w:hideMark/>
          </w:tcPr>
          <w:p w14:paraId="4B7C01CF" w14:textId="77777777" w:rsidR="00ED1DBF" w:rsidRPr="00260248" w:rsidRDefault="00ED1DBF" w:rsidP="00D30DFD">
            <w:pPr>
              <w:spacing w:after="0" w:line="240" w:lineRule="auto"/>
              <w:jc w:val="center"/>
              <w:rPr>
                <w:rFonts w:eastAsia="Times New Roman" w:cs="Times New Roman"/>
                <w:b/>
                <w:bCs/>
                <w:color w:val="000000"/>
                <w:sz w:val="20"/>
                <w:szCs w:val="20"/>
              </w:rPr>
            </w:pPr>
            <w:r w:rsidRPr="00260248">
              <w:rPr>
                <w:rFonts w:eastAsia="Times New Roman" w:cs="Times New Roman"/>
                <w:b/>
                <w:bCs/>
                <w:color w:val="000000"/>
                <w:sz w:val="20"/>
                <w:szCs w:val="20"/>
              </w:rPr>
              <w:t>C</w:t>
            </w:r>
          </w:p>
        </w:tc>
        <w:tc>
          <w:tcPr>
            <w:tcW w:w="2782" w:type="dxa"/>
            <w:gridSpan w:val="3"/>
            <w:vMerge w:val="restart"/>
            <w:tcBorders>
              <w:top w:val="single" w:sz="4" w:space="0" w:color="auto"/>
              <w:left w:val="single" w:sz="4" w:space="0" w:color="auto"/>
              <w:bottom w:val="single" w:sz="8" w:space="0" w:color="000000"/>
              <w:right w:val="single" w:sz="4" w:space="0" w:color="000000"/>
            </w:tcBorders>
            <w:shd w:val="clear" w:color="000000" w:fill="DCE6F1"/>
            <w:noWrap/>
            <w:vAlign w:val="center"/>
            <w:hideMark/>
          </w:tcPr>
          <w:p w14:paraId="6F5E3092"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N/A</w:t>
            </w:r>
          </w:p>
        </w:tc>
        <w:tc>
          <w:tcPr>
            <w:tcW w:w="839" w:type="dxa"/>
            <w:tcBorders>
              <w:top w:val="nil"/>
              <w:left w:val="nil"/>
              <w:bottom w:val="nil"/>
              <w:right w:val="nil"/>
            </w:tcBorders>
            <w:shd w:val="clear" w:color="000000" w:fill="DCE6F1"/>
            <w:noWrap/>
            <w:vAlign w:val="center"/>
            <w:hideMark/>
          </w:tcPr>
          <w:p w14:paraId="0B7A5118"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15.5</w:t>
            </w:r>
          </w:p>
        </w:tc>
        <w:tc>
          <w:tcPr>
            <w:tcW w:w="1271" w:type="dxa"/>
            <w:tcBorders>
              <w:top w:val="nil"/>
              <w:left w:val="nil"/>
              <w:bottom w:val="nil"/>
              <w:right w:val="nil"/>
            </w:tcBorders>
            <w:shd w:val="clear" w:color="000000" w:fill="DCE6F1"/>
            <w:noWrap/>
            <w:vAlign w:val="center"/>
            <w:hideMark/>
          </w:tcPr>
          <w:p w14:paraId="6E85C987"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(7.25‒24)</w:t>
            </w:r>
          </w:p>
        </w:tc>
        <w:tc>
          <w:tcPr>
            <w:tcW w:w="672" w:type="dxa"/>
            <w:vMerge w:val="restart"/>
            <w:tcBorders>
              <w:top w:val="nil"/>
              <w:left w:val="nil"/>
              <w:bottom w:val="single" w:sz="8" w:space="0" w:color="000000"/>
              <w:right w:val="single" w:sz="4" w:space="0" w:color="auto"/>
            </w:tcBorders>
            <w:shd w:val="clear" w:color="000000" w:fill="DCE6F1"/>
            <w:noWrap/>
            <w:vAlign w:val="center"/>
            <w:hideMark/>
          </w:tcPr>
          <w:p w14:paraId="1D9128A5"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0.055</w:t>
            </w:r>
          </w:p>
        </w:tc>
        <w:tc>
          <w:tcPr>
            <w:tcW w:w="839" w:type="dxa"/>
            <w:tcBorders>
              <w:top w:val="nil"/>
              <w:left w:val="nil"/>
              <w:bottom w:val="nil"/>
              <w:right w:val="nil"/>
            </w:tcBorders>
            <w:shd w:val="clear" w:color="000000" w:fill="DCE6F1"/>
            <w:noWrap/>
            <w:vAlign w:val="center"/>
            <w:hideMark/>
          </w:tcPr>
          <w:p w14:paraId="64D10B4B"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15.5</w:t>
            </w:r>
          </w:p>
        </w:tc>
        <w:tc>
          <w:tcPr>
            <w:tcW w:w="1271" w:type="dxa"/>
            <w:tcBorders>
              <w:top w:val="nil"/>
              <w:left w:val="nil"/>
              <w:bottom w:val="nil"/>
              <w:right w:val="nil"/>
            </w:tcBorders>
            <w:shd w:val="clear" w:color="000000" w:fill="DCE6F1"/>
            <w:noWrap/>
            <w:vAlign w:val="center"/>
            <w:hideMark/>
          </w:tcPr>
          <w:p w14:paraId="42AB35C8"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(7.3‒25)</w:t>
            </w:r>
          </w:p>
        </w:tc>
        <w:tc>
          <w:tcPr>
            <w:tcW w:w="672" w:type="dxa"/>
            <w:vMerge w:val="restart"/>
            <w:tcBorders>
              <w:top w:val="nil"/>
              <w:left w:val="nil"/>
              <w:bottom w:val="single" w:sz="8" w:space="0" w:color="000000"/>
              <w:right w:val="single" w:sz="4" w:space="0" w:color="auto"/>
            </w:tcBorders>
            <w:shd w:val="clear" w:color="000000" w:fill="DCE6F1"/>
            <w:vAlign w:val="center"/>
            <w:hideMark/>
          </w:tcPr>
          <w:p w14:paraId="3D3B04F6"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0.099</w:t>
            </w:r>
          </w:p>
        </w:tc>
        <w:tc>
          <w:tcPr>
            <w:tcW w:w="2776" w:type="dxa"/>
            <w:gridSpan w:val="3"/>
            <w:vMerge w:val="restart"/>
            <w:tcBorders>
              <w:top w:val="single" w:sz="4" w:space="0" w:color="auto"/>
              <w:left w:val="single" w:sz="4" w:space="0" w:color="auto"/>
              <w:bottom w:val="single" w:sz="8" w:space="0" w:color="000000"/>
              <w:right w:val="single" w:sz="18" w:space="0" w:color="auto"/>
            </w:tcBorders>
            <w:shd w:val="clear" w:color="000000" w:fill="DCE6F1"/>
            <w:noWrap/>
            <w:vAlign w:val="center"/>
            <w:hideMark/>
          </w:tcPr>
          <w:p w14:paraId="1C3A19E6"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N/A</w:t>
            </w:r>
          </w:p>
        </w:tc>
      </w:tr>
      <w:tr w:rsidR="00ED1DBF" w:rsidRPr="00260248" w14:paraId="4EA3CDE6" w14:textId="77777777" w:rsidTr="00D30DFD">
        <w:trPr>
          <w:trHeight w:val="315"/>
        </w:trPr>
        <w:tc>
          <w:tcPr>
            <w:tcW w:w="1573" w:type="dxa"/>
            <w:vMerge/>
            <w:tcBorders>
              <w:top w:val="nil"/>
              <w:left w:val="single" w:sz="18" w:space="0" w:color="auto"/>
              <w:bottom w:val="single" w:sz="18" w:space="0" w:color="auto"/>
              <w:right w:val="nil"/>
            </w:tcBorders>
            <w:vAlign w:val="center"/>
            <w:hideMark/>
          </w:tcPr>
          <w:p w14:paraId="35680DBF" w14:textId="77777777" w:rsidR="00ED1DBF" w:rsidRPr="00260248" w:rsidRDefault="00ED1DBF" w:rsidP="00D30DFD">
            <w:pPr>
              <w:spacing w:after="0" w:line="240" w:lineRule="auto"/>
              <w:rPr>
                <w:rFonts w:eastAsia="Times New Roman" w:cs="Times New Roman"/>
                <w:b/>
                <w:bCs/>
                <w:color w:val="000000"/>
                <w:sz w:val="20"/>
                <w:szCs w:val="20"/>
              </w:rPr>
            </w:pPr>
          </w:p>
        </w:tc>
        <w:tc>
          <w:tcPr>
            <w:tcW w:w="361" w:type="dxa"/>
            <w:tcBorders>
              <w:top w:val="nil"/>
              <w:left w:val="nil"/>
              <w:bottom w:val="single" w:sz="18" w:space="0" w:color="auto"/>
              <w:right w:val="single" w:sz="4" w:space="0" w:color="auto"/>
            </w:tcBorders>
            <w:shd w:val="clear" w:color="000000" w:fill="DCE6F1"/>
            <w:noWrap/>
            <w:vAlign w:val="bottom"/>
            <w:hideMark/>
          </w:tcPr>
          <w:p w14:paraId="73E41CF1" w14:textId="77777777" w:rsidR="00ED1DBF" w:rsidRPr="00260248" w:rsidRDefault="00ED1DBF" w:rsidP="00D30DFD">
            <w:pPr>
              <w:spacing w:after="0" w:line="240" w:lineRule="auto"/>
              <w:jc w:val="center"/>
              <w:rPr>
                <w:rFonts w:eastAsia="Times New Roman" w:cs="Times New Roman"/>
                <w:b/>
                <w:bCs/>
                <w:color w:val="000000"/>
                <w:sz w:val="20"/>
                <w:szCs w:val="20"/>
              </w:rPr>
            </w:pPr>
            <w:r w:rsidRPr="00260248">
              <w:rPr>
                <w:rFonts w:eastAsia="Times New Roman" w:cs="Times New Roman"/>
                <w:b/>
                <w:bCs/>
                <w:color w:val="000000"/>
                <w:sz w:val="20"/>
                <w:szCs w:val="20"/>
              </w:rPr>
              <w:t>S</w:t>
            </w:r>
          </w:p>
        </w:tc>
        <w:tc>
          <w:tcPr>
            <w:tcW w:w="2782" w:type="dxa"/>
            <w:gridSpan w:val="3"/>
            <w:vMerge/>
            <w:tcBorders>
              <w:top w:val="nil"/>
              <w:left w:val="nil"/>
              <w:bottom w:val="single" w:sz="18" w:space="0" w:color="auto"/>
              <w:right w:val="single" w:sz="4" w:space="0" w:color="auto"/>
            </w:tcBorders>
            <w:vAlign w:val="center"/>
            <w:hideMark/>
          </w:tcPr>
          <w:p w14:paraId="11375179" w14:textId="77777777" w:rsidR="00ED1DBF" w:rsidRPr="00260248" w:rsidRDefault="00ED1DBF" w:rsidP="00D30DFD">
            <w:pPr>
              <w:spacing w:after="0" w:line="240" w:lineRule="auto"/>
              <w:rPr>
                <w:rFonts w:eastAsia="Times New Roman" w:cs="Times New Roman"/>
                <w:color w:val="000000"/>
                <w:sz w:val="20"/>
                <w:szCs w:val="20"/>
              </w:rPr>
            </w:pPr>
          </w:p>
        </w:tc>
        <w:tc>
          <w:tcPr>
            <w:tcW w:w="839" w:type="dxa"/>
            <w:tcBorders>
              <w:top w:val="nil"/>
              <w:left w:val="nil"/>
              <w:bottom w:val="single" w:sz="18" w:space="0" w:color="auto"/>
              <w:right w:val="nil"/>
            </w:tcBorders>
            <w:shd w:val="clear" w:color="000000" w:fill="DCE6F1"/>
            <w:noWrap/>
            <w:vAlign w:val="center"/>
            <w:hideMark/>
          </w:tcPr>
          <w:p w14:paraId="123D559E"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7.5</w:t>
            </w:r>
          </w:p>
        </w:tc>
        <w:tc>
          <w:tcPr>
            <w:tcW w:w="1271" w:type="dxa"/>
            <w:tcBorders>
              <w:top w:val="nil"/>
              <w:left w:val="nil"/>
              <w:bottom w:val="single" w:sz="18" w:space="0" w:color="auto"/>
              <w:right w:val="nil"/>
            </w:tcBorders>
            <w:shd w:val="clear" w:color="000000" w:fill="DCE6F1"/>
            <w:noWrap/>
            <w:vAlign w:val="center"/>
            <w:hideMark/>
          </w:tcPr>
          <w:p w14:paraId="560A4CE3"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(4‒17.5)</w:t>
            </w:r>
          </w:p>
        </w:tc>
        <w:tc>
          <w:tcPr>
            <w:tcW w:w="672" w:type="dxa"/>
            <w:vMerge/>
            <w:tcBorders>
              <w:top w:val="nil"/>
              <w:left w:val="nil"/>
              <w:bottom w:val="single" w:sz="18" w:space="0" w:color="auto"/>
              <w:right w:val="single" w:sz="4" w:space="0" w:color="auto"/>
            </w:tcBorders>
            <w:vAlign w:val="center"/>
            <w:hideMark/>
          </w:tcPr>
          <w:p w14:paraId="64348D09" w14:textId="77777777" w:rsidR="00ED1DBF" w:rsidRPr="00260248" w:rsidRDefault="00ED1DBF" w:rsidP="00D30DFD">
            <w:pPr>
              <w:spacing w:after="0" w:line="240" w:lineRule="auto"/>
              <w:rPr>
                <w:rFonts w:eastAsia="Times New Roman" w:cs="Times New Roman"/>
                <w:color w:val="000000"/>
                <w:sz w:val="20"/>
                <w:szCs w:val="20"/>
              </w:rPr>
            </w:pPr>
          </w:p>
        </w:tc>
        <w:tc>
          <w:tcPr>
            <w:tcW w:w="839" w:type="dxa"/>
            <w:tcBorders>
              <w:top w:val="nil"/>
              <w:left w:val="nil"/>
              <w:bottom w:val="single" w:sz="18" w:space="0" w:color="auto"/>
              <w:right w:val="nil"/>
            </w:tcBorders>
            <w:shd w:val="clear" w:color="000000" w:fill="DCE6F1"/>
            <w:noWrap/>
            <w:vAlign w:val="center"/>
            <w:hideMark/>
          </w:tcPr>
          <w:p w14:paraId="4F1373AD"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15</w:t>
            </w:r>
          </w:p>
        </w:tc>
        <w:tc>
          <w:tcPr>
            <w:tcW w:w="1271" w:type="dxa"/>
            <w:tcBorders>
              <w:top w:val="nil"/>
              <w:left w:val="nil"/>
              <w:bottom w:val="single" w:sz="18" w:space="0" w:color="auto"/>
              <w:right w:val="nil"/>
            </w:tcBorders>
            <w:shd w:val="clear" w:color="000000" w:fill="DCE6F1"/>
            <w:noWrap/>
            <w:vAlign w:val="center"/>
            <w:hideMark/>
          </w:tcPr>
          <w:p w14:paraId="384992C8"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(8‒20)</w:t>
            </w:r>
          </w:p>
        </w:tc>
        <w:tc>
          <w:tcPr>
            <w:tcW w:w="672" w:type="dxa"/>
            <w:vMerge/>
            <w:tcBorders>
              <w:top w:val="nil"/>
              <w:left w:val="nil"/>
              <w:bottom w:val="single" w:sz="18" w:space="0" w:color="auto"/>
              <w:right w:val="single" w:sz="4" w:space="0" w:color="auto"/>
            </w:tcBorders>
            <w:vAlign w:val="center"/>
            <w:hideMark/>
          </w:tcPr>
          <w:p w14:paraId="7990E1D0" w14:textId="77777777" w:rsidR="00ED1DBF" w:rsidRPr="00260248" w:rsidRDefault="00ED1DBF" w:rsidP="00D30DFD">
            <w:pPr>
              <w:spacing w:after="0" w:line="240" w:lineRule="auto"/>
              <w:rPr>
                <w:rFonts w:eastAsia="Times New Roman" w:cs="Times New Roman"/>
                <w:color w:val="000000"/>
                <w:sz w:val="20"/>
                <w:szCs w:val="20"/>
              </w:rPr>
            </w:pPr>
          </w:p>
        </w:tc>
        <w:tc>
          <w:tcPr>
            <w:tcW w:w="2776" w:type="dxa"/>
            <w:gridSpan w:val="3"/>
            <w:vMerge/>
            <w:tcBorders>
              <w:top w:val="single" w:sz="4" w:space="0" w:color="auto"/>
              <w:left w:val="single" w:sz="4" w:space="0" w:color="auto"/>
              <w:bottom w:val="single" w:sz="18" w:space="0" w:color="auto"/>
              <w:right w:val="single" w:sz="18" w:space="0" w:color="auto"/>
            </w:tcBorders>
            <w:vAlign w:val="center"/>
            <w:hideMark/>
          </w:tcPr>
          <w:p w14:paraId="4633DCA0" w14:textId="77777777" w:rsidR="00ED1DBF" w:rsidRPr="00260248" w:rsidRDefault="00ED1DBF" w:rsidP="00D30DFD">
            <w:pPr>
              <w:spacing w:after="0" w:line="240" w:lineRule="auto"/>
              <w:rPr>
                <w:rFonts w:eastAsia="Times New Roman" w:cs="Times New Roman"/>
                <w:color w:val="000000"/>
                <w:sz w:val="20"/>
                <w:szCs w:val="20"/>
              </w:rPr>
            </w:pPr>
          </w:p>
        </w:tc>
      </w:tr>
      <w:tr w:rsidR="00ED1DBF" w:rsidRPr="00260248" w14:paraId="24919079" w14:textId="77777777" w:rsidTr="00D30DFD">
        <w:trPr>
          <w:trHeight w:val="300"/>
        </w:trPr>
        <w:tc>
          <w:tcPr>
            <w:tcW w:w="13056" w:type="dxa"/>
            <w:gridSpan w:val="14"/>
            <w:tcBorders>
              <w:top w:val="single" w:sz="18" w:space="0" w:color="auto"/>
              <w:left w:val="nil"/>
              <w:bottom w:val="nil"/>
              <w:right w:val="nil"/>
            </w:tcBorders>
            <w:shd w:val="clear" w:color="auto" w:fill="auto"/>
            <w:noWrap/>
            <w:vAlign w:val="bottom"/>
            <w:hideMark/>
          </w:tcPr>
          <w:p w14:paraId="7D1EE058" w14:textId="77777777" w:rsidR="00ED1DBF" w:rsidRPr="00260248" w:rsidRDefault="00ED1DBF" w:rsidP="00D30DFD">
            <w:pPr>
              <w:spacing w:after="0" w:line="240" w:lineRule="auto"/>
              <w:rPr>
                <w:rFonts w:eastAsia="Times New Roman" w:cs="Times New Roman"/>
                <w:i/>
                <w:iCs/>
                <w:color w:val="000000"/>
                <w:sz w:val="20"/>
                <w:szCs w:val="20"/>
              </w:rPr>
            </w:pPr>
            <w:r w:rsidRPr="00260248">
              <w:rPr>
                <w:rFonts w:eastAsia="Times New Roman" w:cs="Times New Roman"/>
                <w:i/>
                <w:iCs/>
                <w:color w:val="000000"/>
                <w:sz w:val="20"/>
                <w:szCs w:val="20"/>
              </w:rPr>
              <w:t>Eat-10: 0= best score, SWAL-QOL: 100= best score</w:t>
            </w:r>
          </w:p>
        </w:tc>
      </w:tr>
      <w:tr w:rsidR="00ED1DBF" w:rsidRPr="00260248" w14:paraId="297FC2DB" w14:textId="77777777" w:rsidTr="00D30DFD">
        <w:trPr>
          <w:trHeight w:val="300"/>
        </w:trPr>
        <w:tc>
          <w:tcPr>
            <w:tcW w:w="13056" w:type="dxa"/>
            <w:gridSpan w:val="14"/>
            <w:tcBorders>
              <w:top w:val="nil"/>
              <w:left w:val="nil"/>
              <w:bottom w:val="nil"/>
              <w:right w:val="nil"/>
            </w:tcBorders>
            <w:shd w:val="clear" w:color="auto" w:fill="auto"/>
            <w:noWrap/>
            <w:vAlign w:val="bottom"/>
            <w:hideMark/>
          </w:tcPr>
          <w:p w14:paraId="7F603936" w14:textId="77777777" w:rsidR="00ED1DBF" w:rsidRPr="00260248" w:rsidRDefault="00ED1DBF" w:rsidP="00D30DFD">
            <w:pPr>
              <w:spacing w:after="0" w:line="240" w:lineRule="auto"/>
              <w:rPr>
                <w:rFonts w:eastAsia="Times New Roman" w:cs="Times New Roman"/>
                <w:i/>
                <w:iCs/>
                <w:color w:val="000000"/>
                <w:sz w:val="20"/>
                <w:szCs w:val="20"/>
              </w:rPr>
            </w:pPr>
            <w:r w:rsidRPr="00260248">
              <w:rPr>
                <w:rFonts w:eastAsia="Times New Roman" w:cs="Times New Roman"/>
                <w:i/>
                <w:iCs/>
                <w:color w:val="000000"/>
                <w:sz w:val="20"/>
                <w:szCs w:val="20"/>
              </w:rPr>
              <w:t xml:space="preserve">Modified for Inpatient Stay Eat-10: Sum of questions (8 out of 10) determined to be relevant for inpatient stay </w:t>
            </w:r>
          </w:p>
        </w:tc>
      </w:tr>
      <w:tr w:rsidR="00ED1DBF" w:rsidRPr="00260248" w14:paraId="6582240A" w14:textId="77777777" w:rsidTr="00D30DFD">
        <w:trPr>
          <w:trHeight w:val="300"/>
        </w:trPr>
        <w:tc>
          <w:tcPr>
            <w:tcW w:w="13056" w:type="dxa"/>
            <w:gridSpan w:val="14"/>
            <w:tcBorders>
              <w:top w:val="nil"/>
              <w:left w:val="nil"/>
              <w:bottom w:val="nil"/>
              <w:right w:val="nil"/>
            </w:tcBorders>
            <w:shd w:val="clear" w:color="auto" w:fill="auto"/>
            <w:noWrap/>
            <w:vAlign w:val="bottom"/>
            <w:hideMark/>
          </w:tcPr>
          <w:p w14:paraId="25631750" w14:textId="77777777" w:rsidR="00ED1DBF" w:rsidRPr="00260248" w:rsidRDefault="00ED1DBF" w:rsidP="00D30DFD">
            <w:pPr>
              <w:spacing w:after="0" w:line="240" w:lineRule="auto"/>
              <w:rPr>
                <w:rFonts w:eastAsia="Times New Roman" w:cs="Times New Roman"/>
                <w:i/>
                <w:iCs/>
                <w:color w:val="000000"/>
                <w:sz w:val="20"/>
                <w:szCs w:val="20"/>
              </w:rPr>
            </w:pPr>
            <w:r w:rsidRPr="00260248">
              <w:rPr>
                <w:rFonts w:eastAsia="Times New Roman" w:cs="Times New Roman"/>
                <w:i/>
                <w:iCs/>
                <w:color w:val="000000"/>
                <w:sz w:val="20"/>
                <w:szCs w:val="20"/>
              </w:rPr>
              <w:t xml:space="preserve">IQR: Interquartile range (Q1-Q3)    </w:t>
            </w:r>
            <w:r w:rsidRPr="001342CE">
              <w:rPr>
                <w:rFonts w:eastAsia="Times New Roman" w:cs="Times New Roman"/>
                <w:i/>
                <w:iCs/>
                <w:color w:val="000000"/>
                <w:sz w:val="20"/>
                <w:szCs w:val="20"/>
              </w:rPr>
              <w:t xml:space="preserve">  </w:t>
            </w:r>
            <w:r>
              <w:rPr>
                <w:rFonts w:eastAsia="Times New Roman" w:cs="Times New Roman"/>
                <w:i/>
                <w:iCs/>
                <w:color w:val="000000"/>
                <w:sz w:val="20"/>
                <w:szCs w:val="20"/>
              </w:rPr>
              <w:t xml:space="preserve"> C:Control arm    S:Steroid arm</w:t>
            </w:r>
          </w:p>
        </w:tc>
      </w:tr>
    </w:tbl>
    <w:p w14:paraId="4CAD7484" w14:textId="77777777" w:rsidR="00ED1DBF" w:rsidRDefault="00ED1DBF" w:rsidP="00ED1DBF"/>
    <w:p w14:paraId="355BC079" w14:textId="77777777" w:rsidR="00ED1DBF" w:rsidRDefault="00ED1DBF" w:rsidP="00ED1DBF"/>
    <w:p w14:paraId="1BF3B79A" w14:textId="77777777" w:rsidR="00ED1DBF" w:rsidRDefault="00ED1DBF" w:rsidP="00ED1DBF">
      <w:pPr>
        <w:sectPr w:rsidR="00ED1DBF" w:rsidSect="001342CE">
          <w:pgSz w:w="15840" w:h="12240" w:orient="landscape"/>
          <w:pgMar w:top="1440" w:right="1440" w:bottom="1440" w:left="1440" w:header="720" w:footer="720" w:gutter="0"/>
          <w:cols w:space="720"/>
          <w:docGrid w:linePitch="360"/>
        </w:sectPr>
      </w:pPr>
    </w:p>
    <w:p w14:paraId="6FD75A05" w14:textId="77777777" w:rsidR="00ED1DBF" w:rsidRPr="00774449" w:rsidRDefault="00ED1DBF" w:rsidP="00ED1DBF">
      <w:pPr>
        <w:pStyle w:val="Heading3"/>
      </w:pPr>
      <w:r w:rsidRPr="00774449">
        <w:lastRenderedPageBreak/>
        <w:t>NDI and VAS</w:t>
      </w:r>
    </w:p>
    <w:p w14:paraId="33A5722B" w14:textId="69E4D1A8" w:rsidR="00ED1DBF" w:rsidRDefault="00377C3D" w:rsidP="00ED1DBF">
      <w:r>
        <w:t>P</w:t>
      </w:r>
      <w:r w:rsidR="00ED1DBF">
        <w:t xml:space="preserve">atients in the Control arm presented a significantly greater VAS Neck </w:t>
      </w:r>
      <w:r>
        <w:t xml:space="preserve">at baseline </w:t>
      </w:r>
      <w:r w:rsidR="00ED1DBF">
        <w:t>(</w:t>
      </w:r>
      <w:r w:rsidR="00ED1DBF" w:rsidRPr="00D57325">
        <w:rPr>
          <w:b/>
        </w:rPr>
        <w:t xml:space="preserve">Table </w:t>
      </w:r>
      <w:r w:rsidR="00ED1DBF">
        <w:rPr>
          <w:b/>
        </w:rPr>
        <w:t>7</w:t>
      </w:r>
      <w:r w:rsidR="00ED1DBF">
        <w:t xml:space="preserve">) than the Steroid arm; there was no </w:t>
      </w:r>
      <w:r w:rsidR="00FD505C">
        <w:t xml:space="preserve">difference </w:t>
      </w:r>
      <w:r w:rsidR="00ED1DBF">
        <w:t>in the subsequent follow-up time points. The control arm also exhibited greater VAS Arm on the right side (baseline and M1), and left side (POD1 only). There was no significant difference in terms of NDI.</w:t>
      </w:r>
    </w:p>
    <w:p w14:paraId="6D19BB4D" w14:textId="0A4C10B9" w:rsidR="00ED1DBF" w:rsidRDefault="00ED1DBF" w:rsidP="00ED1DBF">
      <w:pPr>
        <w:spacing w:after="0"/>
      </w:pPr>
      <w:r w:rsidRPr="001342CE">
        <w:rPr>
          <w:rFonts w:eastAsia="Times New Roman" w:cs="Times New Roman"/>
          <w:b/>
          <w:bCs/>
          <w:color w:val="000000"/>
          <w:sz w:val="20"/>
          <w:szCs w:val="20"/>
        </w:rPr>
        <w:t xml:space="preserve">Table </w:t>
      </w:r>
      <w:r>
        <w:rPr>
          <w:rFonts w:eastAsia="Times New Roman" w:cs="Times New Roman"/>
          <w:b/>
          <w:bCs/>
          <w:color w:val="000000"/>
          <w:sz w:val="20"/>
          <w:szCs w:val="20"/>
        </w:rPr>
        <w:t>7</w:t>
      </w:r>
      <w:r w:rsidRPr="001342CE">
        <w:rPr>
          <w:rFonts w:eastAsia="Times New Roman" w:cs="Times New Roman"/>
          <w:b/>
          <w:bCs/>
          <w:color w:val="000000"/>
          <w:sz w:val="20"/>
          <w:szCs w:val="20"/>
        </w:rPr>
        <w:t xml:space="preserve">: </w:t>
      </w:r>
      <w:r>
        <w:rPr>
          <w:rFonts w:eastAsia="Times New Roman" w:cs="Times New Roman"/>
          <w:b/>
          <w:bCs/>
          <w:color w:val="000000"/>
          <w:sz w:val="20"/>
          <w:szCs w:val="20"/>
        </w:rPr>
        <w:t xml:space="preserve">Comparison </w:t>
      </w:r>
      <w:r w:rsidR="00C651CA">
        <w:rPr>
          <w:rFonts w:eastAsia="Times New Roman" w:cs="Times New Roman"/>
          <w:b/>
          <w:bCs/>
          <w:color w:val="000000"/>
          <w:sz w:val="20"/>
          <w:szCs w:val="20"/>
        </w:rPr>
        <w:t xml:space="preserve">of the </w:t>
      </w:r>
      <w:r>
        <w:rPr>
          <w:rFonts w:eastAsia="Times New Roman" w:cs="Times New Roman"/>
          <w:b/>
          <w:bCs/>
          <w:color w:val="000000"/>
          <w:sz w:val="20"/>
          <w:szCs w:val="20"/>
        </w:rPr>
        <w:t>NDI and VAS for different time-points</w:t>
      </w:r>
    </w:p>
    <w:tbl>
      <w:tblPr>
        <w:tblW w:w="8119" w:type="dxa"/>
        <w:tblInd w:w="108" w:type="dxa"/>
        <w:tblLook w:val="04A0" w:firstRow="1" w:lastRow="0" w:firstColumn="1" w:lastColumn="0" w:noHBand="0" w:noVBand="1"/>
      </w:tblPr>
      <w:tblGrid>
        <w:gridCol w:w="1573"/>
        <w:gridCol w:w="361"/>
        <w:gridCol w:w="839"/>
        <w:gridCol w:w="675"/>
        <w:gridCol w:w="839"/>
        <w:gridCol w:w="574"/>
        <w:gridCol w:w="1275"/>
        <w:gridCol w:w="672"/>
        <w:gridCol w:w="902"/>
        <w:gridCol w:w="666"/>
      </w:tblGrid>
      <w:tr w:rsidR="00ED1DBF" w:rsidRPr="00260248" w14:paraId="05662CD2" w14:textId="77777777" w:rsidTr="00D30DFD">
        <w:trPr>
          <w:trHeight w:val="300"/>
        </w:trPr>
        <w:tc>
          <w:tcPr>
            <w:tcW w:w="1934" w:type="dxa"/>
            <w:gridSpan w:val="2"/>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F337774" w14:textId="77777777" w:rsidR="00ED1DBF" w:rsidRPr="00260248" w:rsidRDefault="00ED1DBF" w:rsidP="00D30DFD">
            <w:pPr>
              <w:spacing w:after="0" w:line="240" w:lineRule="auto"/>
              <w:jc w:val="center"/>
              <w:rPr>
                <w:rFonts w:eastAsia="Times New Roman" w:cs="Times New Roman"/>
                <w:b/>
                <w:bCs/>
                <w:color w:val="000000"/>
                <w:sz w:val="20"/>
                <w:szCs w:val="20"/>
              </w:rPr>
            </w:pPr>
          </w:p>
        </w:tc>
        <w:tc>
          <w:tcPr>
            <w:tcW w:w="1511" w:type="dxa"/>
            <w:gridSpan w:val="2"/>
            <w:tcBorders>
              <w:top w:val="single" w:sz="12" w:space="0" w:color="auto"/>
              <w:left w:val="single" w:sz="12" w:space="0" w:color="auto"/>
              <w:right w:val="single" w:sz="12" w:space="0" w:color="auto"/>
            </w:tcBorders>
            <w:shd w:val="clear" w:color="auto" w:fill="auto"/>
            <w:noWrap/>
            <w:vAlign w:val="center"/>
            <w:hideMark/>
          </w:tcPr>
          <w:p w14:paraId="447A67FE" w14:textId="77777777" w:rsidR="00ED1DBF" w:rsidRPr="000E5525" w:rsidRDefault="00ED1DBF" w:rsidP="00D30DFD">
            <w:pPr>
              <w:spacing w:after="0" w:line="240" w:lineRule="auto"/>
              <w:jc w:val="center"/>
              <w:rPr>
                <w:rFonts w:eastAsia="Times New Roman" w:cs="Times New Roman"/>
                <w:b/>
                <w:color w:val="000000"/>
                <w:sz w:val="20"/>
                <w:szCs w:val="20"/>
              </w:rPr>
            </w:pPr>
            <w:r w:rsidRPr="000E5525">
              <w:rPr>
                <w:rFonts w:eastAsia="Times New Roman" w:cs="Times New Roman"/>
                <w:b/>
                <w:color w:val="000000"/>
                <w:sz w:val="20"/>
                <w:szCs w:val="20"/>
              </w:rPr>
              <w:t xml:space="preserve">Pre-Op </w:t>
            </w:r>
          </w:p>
        </w:tc>
        <w:tc>
          <w:tcPr>
            <w:tcW w:w="1159" w:type="dxa"/>
            <w:gridSpan w:val="2"/>
            <w:tcBorders>
              <w:top w:val="single" w:sz="12" w:space="0" w:color="auto"/>
              <w:left w:val="single" w:sz="12" w:space="0" w:color="auto"/>
              <w:right w:val="single" w:sz="12" w:space="0" w:color="auto"/>
            </w:tcBorders>
            <w:shd w:val="clear" w:color="auto" w:fill="auto"/>
            <w:noWrap/>
            <w:vAlign w:val="center"/>
            <w:hideMark/>
          </w:tcPr>
          <w:p w14:paraId="26F466B9"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b/>
                <w:bCs/>
                <w:color w:val="000000"/>
                <w:sz w:val="20"/>
                <w:szCs w:val="20"/>
              </w:rPr>
              <w:t xml:space="preserve">POD1 </w:t>
            </w:r>
          </w:p>
        </w:tc>
        <w:tc>
          <w:tcPr>
            <w:tcW w:w="1947" w:type="dxa"/>
            <w:gridSpan w:val="2"/>
            <w:tcBorders>
              <w:top w:val="single" w:sz="12" w:space="0" w:color="auto"/>
              <w:left w:val="single" w:sz="12" w:space="0" w:color="auto"/>
              <w:right w:val="single" w:sz="12" w:space="0" w:color="auto"/>
            </w:tcBorders>
            <w:shd w:val="clear" w:color="auto" w:fill="auto"/>
            <w:noWrap/>
            <w:vAlign w:val="center"/>
            <w:hideMark/>
          </w:tcPr>
          <w:p w14:paraId="09158CD2"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b/>
                <w:bCs/>
                <w:color w:val="000000"/>
                <w:sz w:val="20"/>
                <w:szCs w:val="20"/>
              </w:rPr>
              <w:t>POD2</w:t>
            </w:r>
            <w:r w:rsidRPr="00260248">
              <w:rPr>
                <w:rFonts w:eastAsia="Times New Roman" w:cs="Times New Roman"/>
                <w:color w:val="000000"/>
                <w:sz w:val="20"/>
                <w:szCs w:val="20"/>
              </w:rPr>
              <w:t xml:space="preserve"> </w:t>
            </w:r>
          </w:p>
        </w:tc>
        <w:tc>
          <w:tcPr>
            <w:tcW w:w="1568" w:type="dxa"/>
            <w:gridSpan w:val="2"/>
            <w:tcBorders>
              <w:top w:val="single" w:sz="12" w:space="0" w:color="auto"/>
              <w:left w:val="single" w:sz="12" w:space="0" w:color="auto"/>
              <w:right w:val="single" w:sz="12" w:space="0" w:color="auto"/>
            </w:tcBorders>
            <w:shd w:val="clear" w:color="auto" w:fill="auto"/>
            <w:noWrap/>
            <w:vAlign w:val="center"/>
            <w:hideMark/>
          </w:tcPr>
          <w:p w14:paraId="1AC7FDF4"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b/>
                <w:bCs/>
                <w:color w:val="000000"/>
                <w:sz w:val="20"/>
                <w:szCs w:val="20"/>
              </w:rPr>
              <w:t>M1</w:t>
            </w:r>
          </w:p>
        </w:tc>
      </w:tr>
      <w:tr w:rsidR="00ED1DBF" w:rsidRPr="00260248" w14:paraId="2F61E245" w14:textId="77777777" w:rsidTr="00D30DFD">
        <w:trPr>
          <w:trHeight w:val="300"/>
        </w:trPr>
        <w:tc>
          <w:tcPr>
            <w:tcW w:w="1934" w:type="dxa"/>
            <w:gridSpan w:val="2"/>
            <w:vMerge/>
            <w:tcBorders>
              <w:left w:val="single" w:sz="12" w:space="0" w:color="auto"/>
              <w:bottom w:val="single" w:sz="12" w:space="0" w:color="auto"/>
              <w:right w:val="single" w:sz="12" w:space="0" w:color="auto"/>
            </w:tcBorders>
            <w:vAlign w:val="center"/>
            <w:hideMark/>
          </w:tcPr>
          <w:p w14:paraId="3BD22A17" w14:textId="77777777" w:rsidR="00ED1DBF" w:rsidRPr="00260248" w:rsidRDefault="00ED1DBF" w:rsidP="00D30DFD">
            <w:pPr>
              <w:spacing w:after="0" w:line="240" w:lineRule="auto"/>
              <w:jc w:val="center"/>
              <w:rPr>
                <w:rFonts w:eastAsia="Times New Roman" w:cs="Times New Roman"/>
                <w:b/>
                <w:bCs/>
                <w:color w:val="000000"/>
                <w:sz w:val="20"/>
                <w:szCs w:val="20"/>
              </w:rPr>
            </w:pPr>
          </w:p>
        </w:tc>
        <w:tc>
          <w:tcPr>
            <w:tcW w:w="839" w:type="dxa"/>
            <w:tcBorders>
              <w:left w:val="single" w:sz="12" w:space="0" w:color="auto"/>
              <w:bottom w:val="single" w:sz="12" w:space="0" w:color="auto"/>
            </w:tcBorders>
            <w:shd w:val="clear" w:color="auto" w:fill="auto"/>
            <w:noWrap/>
            <w:vAlign w:val="center"/>
            <w:hideMark/>
          </w:tcPr>
          <w:p w14:paraId="08A577DF"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Mean</w:t>
            </w:r>
          </w:p>
        </w:tc>
        <w:tc>
          <w:tcPr>
            <w:tcW w:w="672" w:type="dxa"/>
            <w:tcBorders>
              <w:bottom w:val="single" w:sz="12" w:space="0" w:color="auto"/>
              <w:right w:val="single" w:sz="12" w:space="0" w:color="auto"/>
            </w:tcBorders>
            <w:shd w:val="clear" w:color="auto" w:fill="auto"/>
            <w:noWrap/>
            <w:vAlign w:val="center"/>
            <w:hideMark/>
          </w:tcPr>
          <w:p w14:paraId="4EF44C60"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P</w:t>
            </w:r>
          </w:p>
        </w:tc>
        <w:tc>
          <w:tcPr>
            <w:tcW w:w="839" w:type="dxa"/>
            <w:tcBorders>
              <w:left w:val="single" w:sz="12" w:space="0" w:color="auto"/>
              <w:bottom w:val="single" w:sz="12" w:space="0" w:color="auto"/>
            </w:tcBorders>
            <w:shd w:val="clear" w:color="auto" w:fill="auto"/>
            <w:noWrap/>
            <w:vAlign w:val="center"/>
            <w:hideMark/>
          </w:tcPr>
          <w:p w14:paraId="0D22D8B8"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Mean</w:t>
            </w:r>
          </w:p>
        </w:tc>
        <w:tc>
          <w:tcPr>
            <w:tcW w:w="320" w:type="dxa"/>
            <w:tcBorders>
              <w:bottom w:val="single" w:sz="12" w:space="0" w:color="auto"/>
              <w:right w:val="single" w:sz="12" w:space="0" w:color="auto"/>
            </w:tcBorders>
            <w:shd w:val="clear" w:color="auto" w:fill="auto"/>
            <w:noWrap/>
            <w:vAlign w:val="center"/>
            <w:hideMark/>
          </w:tcPr>
          <w:p w14:paraId="0CE0B628"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P</w:t>
            </w:r>
          </w:p>
        </w:tc>
        <w:tc>
          <w:tcPr>
            <w:tcW w:w="1275" w:type="dxa"/>
            <w:tcBorders>
              <w:left w:val="single" w:sz="12" w:space="0" w:color="auto"/>
              <w:bottom w:val="single" w:sz="12" w:space="0" w:color="auto"/>
            </w:tcBorders>
            <w:shd w:val="clear" w:color="auto" w:fill="auto"/>
            <w:noWrap/>
            <w:vAlign w:val="center"/>
            <w:hideMark/>
          </w:tcPr>
          <w:p w14:paraId="23B8CF8F"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Mean</w:t>
            </w:r>
          </w:p>
        </w:tc>
        <w:tc>
          <w:tcPr>
            <w:tcW w:w="672" w:type="dxa"/>
            <w:tcBorders>
              <w:bottom w:val="single" w:sz="12" w:space="0" w:color="auto"/>
              <w:right w:val="single" w:sz="12" w:space="0" w:color="auto"/>
            </w:tcBorders>
            <w:shd w:val="clear" w:color="auto" w:fill="auto"/>
            <w:noWrap/>
            <w:vAlign w:val="center"/>
            <w:hideMark/>
          </w:tcPr>
          <w:p w14:paraId="03FF6F2E"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P</w:t>
            </w:r>
          </w:p>
        </w:tc>
        <w:tc>
          <w:tcPr>
            <w:tcW w:w="902" w:type="dxa"/>
            <w:tcBorders>
              <w:left w:val="single" w:sz="12" w:space="0" w:color="auto"/>
              <w:bottom w:val="single" w:sz="12" w:space="0" w:color="auto"/>
            </w:tcBorders>
            <w:shd w:val="clear" w:color="auto" w:fill="auto"/>
            <w:noWrap/>
            <w:vAlign w:val="center"/>
            <w:hideMark/>
          </w:tcPr>
          <w:p w14:paraId="7958DD19"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Mean</w:t>
            </w:r>
          </w:p>
        </w:tc>
        <w:tc>
          <w:tcPr>
            <w:tcW w:w="666" w:type="dxa"/>
            <w:tcBorders>
              <w:bottom w:val="single" w:sz="12" w:space="0" w:color="auto"/>
              <w:right w:val="single" w:sz="12" w:space="0" w:color="auto"/>
            </w:tcBorders>
            <w:shd w:val="clear" w:color="auto" w:fill="auto"/>
            <w:noWrap/>
            <w:vAlign w:val="center"/>
            <w:hideMark/>
          </w:tcPr>
          <w:p w14:paraId="6126FA6C" w14:textId="77777777" w:rsidR="00ED1DBF" w:rsidRPr="00260248" w:rsidRDefault="00ED1DBF" w:rsidP="00D30DFD">
            <w:pPr>
              <w:spacing w:after="0" w:line="240" w:lineRule="auto"/>
              <w:jc w:val="center"/>
              <w:rPr>
                <w:rFonts w:eastAsia="Times New Roman" w:cs="Times New Roman"/>
                <w:color w:val="000000"/>
                <w:sz w:val="20"/>
                <w:szCs w:val="20"/>
              </w:rPr>
            </w:pPr>
            <w:r w:rsidRPr="00260248">
              <w:rPr>
                <w:rFonts w:eastAsia="Times New Roman" w:cs="Times New Roman"/>
                <w:color w:val="000000"/>
                <w:sz w:val="20"/>
                <w:szCs w:val="20"/>
              </w:rPr>
              <w:t>P</w:t>
            </w:r>
          </w:p>
        </w:tc>
      </w:tr>
      <w:tr w:rsidR="00ED1DBF" w:rsidRPr="00260248" w14:paraId="3EC08C5B" w14:textId="77777777" w:rsidTr="00D30DFD">
        <w:trPr>
          <w:trHeight w:val="300"/>
        </w:trPr>
        <w:tc>
          <w:tcPr>
            <w:tcW w:w="1573" w:type="dxa"/>
            <w:vMerge w:val="restart"/>
            <w:tcBorders>
              <w:top w:val="single" w:sz="12" w:space="0" w:color="auto"/>
              <w:left w:val="single" w:sz="12" w:space="0" w:color="auto"/>
            </w:tcBorders>
            <w:shd w:val="clear" w:color="auto" w:fill="C6D9F1" w:themeFill="text2" w:themeFillTint="33"/>
            <w:vAlign w:val="center"/>
            <w:hideMark/>
          </w:tcPr>
          <w:p w14:paraId="59322D28" w14:textId="77777777" w:rsidR="00ED1DBF" w:rsidRPr="00260248" w:rsidRDefault="00ED1DBF" w:rsidP="00D30DFD">
            <w:pPr>
              <w:spacing w:after="0" w:line="240" w:lineRule="auto"/>
              <w:jc w:val="left"/>
              <w:rPr>
                <w:rFonts w:eastAsia="Times New Roman" w:cs="Times New Roman"/>
                <w:b/>
                <w:bCs/>
                <w:color w:val="000000"/>
                <w:sz w:val="20"/>
                <w:szCs w:val="20"/>
              </w:rPr>
            </w:pPr>
            <w:r>
              <w:rPr>
                <w:rFonts w:eastAsia="Times New Roman" w:cs="Times New Roman"/>
                <w:b/>
                <w:bCs/>
                <w:color w:val="000000"/>
                <w:sz w:val="20"/>
                <w:szCs w:val="20"/>
              </w:rPr>
              <w:t>NDI</w:t>
            </w:r>
            <w:r w:rsidRPr="00260248">
              <w:rPr>
                <w:rFonts w:eastAsia="Times New Roman" w:cs="Times New Roman"/>
                <w:b/>
                <w:bCs/>
                <w:color w:val="000000"/>
                <w:sz w:val="20"/>
                <w:szCs w:val="20"/>
              </w:rPr>
              <w:t xml:space="preserve"> </w:t>
            </w:r>
          </w:p>
        </w:tc>
        <w:tc>
          <w:tcPr>
            <w:tcW w:w="361" w:type="dxa"/>
            <w:tcBorders>
              <w:top w:val="single" w:sz="12" w:space="0" w:color="auto"/>
              <w:right w:val="single" w:sz="12" w:space="0" w:color="auto"/>
            </w:tcBorders>
            <w:shd w:val="clear" w:color="auto" w:fill="C6D9F1" w:themeFill="text2" w:themeFillTint="33"/>
            <w:noWrap/>
            <w:vAlign w:val="bottom"/>
            <w:hideMark/>
          </w:tcPr>
          <w:p w14:paraId="74FB4B4B" w14:textId="77777777" w:rsidR="00ED1DBF" w:rsidRPr="00260248" w:rsidRDefault="00ED1DBF" w:rsidP="00D30DFD">
            <w:pPr>
              <w:spacing w:after="0" w:line="240" w:lineRule="auto"/>
              <w:jc w:val="center"/>
              <w:rPr>
                <w:rFonts w:eastAsia="Times New Roman" w:cs="Times New Roman"/>
                <w:b/>
                <w:bCs/>
                <w:color w:val="000000"/>
                <w:sz w:val="20"/>
                <w:szCs w:val="20"/>
              </w:rPr>
            </w:pPr>
            <w:r w:rsidRPr="00260248">
              <w:rPr>
                <w:rFonts w:eastAsia="Times New Roman" w:cs="Times New Roman"/>
                <w:b/>
                <w:bCs/>
                <w:color w:val="000000"/>
                <w:sz w:val="20"/>
                <w:szCs w:val="20"/>
              </w:rPr>
              <w:t>C</w:t>
            </w:r>
          </w:p>
        </w:tc>
        <w:tc>
          <w:tcPr>
            <w:tcW w:w="839" w:type="dxa"/>
            <w:tcBorders>
              <w:top w:val="single" w:sz="12" w:space="0" w:color="auto"/>
              <w:left w:val="single" w:sz="12" w:space="0" w:color="auto"/>
            </w:tcBorders>
            <w:shd w:val="clear" w:color="auto" w:fill="C6D9F1" w:themeFill="text2" w:themeFillTint="33"/>
            <w:noWrap/>
            <w:vAlign w:val="bottom"/>
          </w:tcPr>
          <w:p w14:paraId="67846E6F"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39.9</w:t>
            </w:r>
          </w:p>
        </w:tc>
        <w:tc>
          <w:tcPr>
            <w:tcW w:w="672" w:type="dxa"/>
            <w:vMerge w:val="restart"/>
            <w:tcBorders>
              <w:top w:val="single" w:sz="12" w:space="0" w:color="auto"/>
              <w:right w:val="single" w:sz="12" w:space="0" w:color="auto"/>
            </w:tcBorders>
            <w:shd w:val="clear" w:color="auto" w:fill="C6D9F1" w:themeFill="text2" w:themeFillTint="33"/>
            <w:noWrap/>
            <w:vAlign w:val="center"/>
          </w:tcPr>
          <w:p w14:paraId="5E8D91A2"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0.74</w:t>
            </w:r>
          </w:p>
        </w:tc>
        <w:tc>
          <w:tcPr>
            <w:tcW w:w="1159" w:type="dxa"/>
            <w:gridSpan w:val="2"/>
            <w:vMerge w:val="restart"/>
            <w:tcBorders>
              <w:top w:val="single" w:sz="12" w:space="0" w:color="auto"/>
              <w:left w:val="single" w:sz="12" w:space="0" w:color="auto"/>
              <w:right w:val="single" w:sz="12" w:space="0" w:color="auto"/>
            </w:tcBorders>
            <w:shd w:val="clear" w:color="auto" w:fill="C6D9F1" w:themeFill="text2" w:themeFillTint="33"/>
            <w:noWrap/>
            <w:vAlign w:val="center"/>
          </w:tcPr>
          <w:p w14:paraId="7818D09C"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Not collected</w:t>
            </w:r>
          </w:p>
        </w:tc>
        <w:tc>
          <w:tcPr>
            <w:tcW w:w="1947" w:type="dxa"/>
            <w:gridSpan w:val="2"/>
            <w:vMerge w:val="restart"/>
            <w:tcBorders>
              <w:top w:val="single" w:sz="12" w:space="0" w:color="auto"/>
              <w:left w:val="single" w:sz="12" w:space="0" w:color="auto"/>
              <w:right w:val="single" w:sz="12" w:space="0" w:color="auto"/>
            </w:tcBorders>
            <w:shd w:val="clear" w:color="auto" w:fill="C6D9F1" w:themeFill="text2" w:themeFillTint="33"/>
            <w:noWrap/>
            <w:vAlign w:val="center"/>
          </w:tcPr>
          <w:p w14:paraId="6B07EBED"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Not collected</w:t>
            </w:r>
          </w:p>
        </w:tc>
        <w:tc>
          <w:tcPr>
            <w:tcW w:w="902" w:type="dxa"/>
            <w:tcBorders>
              <w:top w:val="single" w:sz="12" w:space="0" w:color="auto"/>
              <w:left w:val="single" w:sz="12" w:space="0" w:color="auto"/>
            </w:tcBorders>
            <w:shd w:val="clear" w:color="auto" w:fill="C6D9F1" w:themeFill="text2" w:themeFillTint="33"/>
            <w:noWrap/>
            <w:vAlign w:val="center"/>
          </w:tcPr>
          <w:p w14:paraId="29F2DBA9" w14:textId="77777777" w:rsidR="00ED1DBF" w:rsidRPr="000E5525" w:rsidRDefault="00ED1DBF" w:rsidP="00D30DFD">
            <w:pPr>
              <w:spacing w:after="0" w:line="240" w:lineRule="auto"/>
              <w:jc w:val="center"/>
              <w:rPr>
                <w:rFonts w:eastAsia="Times New Roman" w:cs="Times New Roman"/>
                <w:bCs/>
                <w:color w:val="000000"/>
                <w:sz w:val="20"/>
                <w:szCs w:val="20"/>
              </w:rPr>
            </w:pPr>
            <w:r w:rsidRPr="000E5525">
              <w:rPr>
                <w:rFonts w:eastAsia="Times New Roman" w:cs="Times New Roman"/>
                <w:bCs/>
                <w:color w:val="000000"/>
                <w:sz w:val="20"/>
                <w:szCs w:val="20"/>
              </w:rPr>
              <w:t>34</w:t>
            </w:r>
          </w:p>
        </w:tc>
        <w:tc>
          <w:tcPr>
            <w:tcW w:w="666" w:type="dxa"/>
            <w:vMerge w:val="restart"/>
            <w:tcBorders>
              <w:top w:val="single" w:sz="12" w:space="0" w:color="auto"/>
              <w:right w:val="single" w:sz="12" w:space="0" w:color="auto"/>
            </w:tcBorders>
            <w:shd w:val="clear" w:color="auto" w:fill="C6D9F1" w:themeFill="text2" w:themeFillTint="33"/>
            <w:noWrap/>
            <w:vAlign w:val="center"/>
          </w:tcPr>
          <w:p w14:paraId="64E19FE9" w14:textId="77777777" w:rsidR="00ED1DBF" w:rsidRPr="000E5525" w:rsidRDefault="00ED1DBF" w:rsidP="00D30DFD">
            <w:pPr>
              <w:spacing w:after="0" w:line="240" w:lineRule="auto"/>
              <w:jc w:val="center"/>
              <w:rPr>
                <w:rFonts w:eastAsia="Times New Roman" w:cs="Times New Roman"/>
                <w:bCs/>
                <w:color w:val="000000"/>
                <w:sz w:val="20"/>
                <w:szCs w:val="20"/>
              </w:rPr>
            </w:pPr>
            <w:r w:rsidRPr="000E5525">
              <w:rPr>
                <w:rFonts w:eastAsia="Times New Roman" w:cs="Times New Roman"/>
                <w:bCs/>
                <w:color w:val="000000"/>
                <w:sz w:val="20"/>
                <w:szCs w:val="20"/>
              </w:rPr>
              <w:t>0.6</w:t>
            </w:r>
          </w:p>
        </w:tc>
      </w:tr>
      <w:tr w:rsidR="00ED1DBF" w:rsidRPr="00260248" w14:paraId="3EDE876F" w14:textId="77777777" w:rsidTr="00D30DFD">
        <w:trPr>
          <w:trHeight w:val="300"/>
        </w:trPr>
        <w:tc>
          <w:tcPr>
            <w:tcW w:w="1573" w:type="dxa"/>
            <w:vMerge/>
            <w:tcBorders>
              <w:left w:val="single" w:sz="12" w:space="0" w:color="auto"/>
              <w:bottom w:val="single" w:sz="4" w:space="0" w:color="auto"/>
            </w:tcBorders>
            <w:shd w:val="clear" w:color="auto" w:fill="C6D9F1" w:themeFill="text2" w:themeFillTint="33"/>
            <w:vAlign w:val="center"/>
            <w:hideMark/>
          </w:tcPr>
          <w:p w14:paraId="7BD5494F" w14:textId="77777777" w:rsidR="00ED1DBF" w:rsidRPr="00260248" w:rsidRDefault="00ED1DBF" w:rsidP="00D30DFD">
            <w:pPr>
              <w:spacing w:after="0" w:line="240" w:lineRule="auto"/>
              <w:jc w:val="left"/>
              <w:rPr>
                <w:rFonts w:eastAsia="Times New Roman" w:cs="Times New Roman"/>
                <w:b/>
                <w:bCs/>
                <w:color w:val="000000"/>
                <w:sz w:val="20"/>
                <w:szCs w:val="20"/>
              </w:rPr>
            </w:pPr>
          </w:p>
        </w:tc>
        <w:tc>
          <w:tcPr>
            <w:tcW w:w="361" w:type="dxa"/>
            <w:tcBorders>
              <w:bottom w:val="single" w:sz="4" w:space="0" w:color="auto"/>
              <w:right w:val="single" w:sz="12" w:space="0" w:color="auto"/>
            </w:tcBorders>
            <w:shd w:val="clear" w:color="auto" w:fill="C6D9F1" w:themeFill="text2" w:themeFillTint="33"/>
            <w:noWrap/>
            <w:vAlign w:val="bottom"/>
            <w:hideMark/>
          </w:tcPr>
          <w:p w14:paraId="406A5C20" w14:textId="77777777" w:rsidR="00ED1DBF" w:rsidRPr="00260248" w:rsidRDefault="00ED1DBF" w:rsidP="00D30DFD">
            <w:pPr>
              <w:spacing w:after="0" w:line="240" w:lineRule="auto"/>
              <w:jc w:val="center"/>
              <w:rPr>
                <w:rFonts w:eastAsia="Times New Roman" w:cs="Times New Roman"/>
                <w:b/>
                <w:bCs/>
                <w:color w:val="000000"/>
                <w:sz w:val="20"/>
                <w:szCs w:val="20"/>
              </w:rPr>
            </w:pPr>
            <w:r w:rsidRPr="00260248">
              <w:rPr>
                <w:rFonts w:eastAsia="Times New Roman" w:cs="Times New Roman"/>
                <w:b/>
                <w:bCs/>
                <w:color w:val="000000"/>
                <w:sz w:val="20"/>
                <w:szCs w:val="20"/>
              </w:rPr>
              <w:t>S</w:t>
            </w:r>
          </w:p>
        </w:tc>
        <w:tc>
          <w:tcPr>
            <w:tcW w:w="839" w:type="dxa"/>
            <w:tcBorders>
              <w:left w:val="single" w:sz="12" w:space="0" w:color="auto"/>
              <w:bottom w:val="single" w:sz="4" w:space="0" w:color="auto"/>
            </w:tcBorders>
            <w:shd w:val="clear" w:color="auto" w:fill="C6D9F1" w:themeFill="text2" w:themeFillTint="33"/>
            <w:noWrap/>
            <w:vAlign w:val="bottom"/>
          </w:tcPr>
          <w:p w14:paraId="4B5D1E5A"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30.5</w:t>
            </w:r>
          </w:p>
        </w:tc>
        <w:tc>
          <w:tcPr>
            <w:tcW w:w="672" w:type="dxa"/>
            <w:vMerge/>
            <w:tcBorders>
              <w:bottom w:val="single" w:sz="4" w:space="0" w:color="auto"/>
              <w:right w:val="single" w:sz="12" w:space="0" w:color="auto"/>
            </w:tcBorders>
            <w:shd w:val="clear" w:color="auto" w:fill="C6D9F1" w:themeFill="text2" w:themeFillTint="33"/>
            <w:vAlign w:val="center"/>
          </w:tcPr>
          <w:p w14:paraId="4E623DA8" w14:textId="77777777" w:rsidR="00ED1DBF" w:rsidRPr="00260248" w:rsidRDefault="00ED1DBF" w:rsidP="00D30DFD">
            <w:pPr>
              <w:spacing w:after="0" w:line="240" w:lineRule="auto"/>
              <w:rPr>
                <w:rFonts w:eastAsia="Times New Roman" w:cs="Times New Roman"/>
                <w:color w:val="000000"/>
                <w:sz w:val="20"/>
                <w:szCs w:val="20"/>
              </w:rPr>
            </w:pPr>
          </w:p>
        </w:tc>
        <w:tc>
          <w:tcPr>
            <w:tcW w:w="1159" w:type="dxa"/>
            <w:gridSpan w:val="2"/>
            <w:vMerge/>
            <w:tcBorders>
              <w:left w:val="single" w:sz="12" w:space="0" w:color="auto"/>
              <w:bottom w:val="single" w:sz="4" w:space="0" w:color="auto"/>
              <w:right w:val="single" w:sz="12" w:space="0" w:color="auto"/>
            </w:tcBorders>
            <w:shd w:val="clear" w:color="auto" w:fill="C6D9F1" w:themeFill="text2" w:themeFillTint="33"/>
            <w:noWrap/>
            <w:vAlign w:val="center"/>
          </w:tcPr>
          <w:p w14:paraId="29E44381" w14:textId="77777777" w:rsidR="00ED1DBF" w:rsidRPr="00260248" w:rsidRDefault="00ED1DBF" w:rsidP="00D30DFD">
            <w:pPr>
              <w:spacing w:after="0" w:line="240" w:lineRule="auto"/>
              <w:rPr>
                <w:rFonts w:eastAsia="Times New Roman" w:cs="Times New Roman"/>
                <w:color w:val="000000"/>
                <w:sz w:val="20"/>
                <w:szCs w:val="20"/>
              </w:rPr>
            </w:pPr>
          </w:p>
        </w:tc>
        <w:tc>
          <w:tcPr>
            <w:tcW w:w="1947" w:type="dxa"/>
            <w:gridSpan w:val="2"/>
            <w:vMerge/>
            <w:tcBorders>
              <w:left w:val="single" w:sz="12" w:space="0" w:color="auto"/>
              <w:bottom w:val="single" w:sz="4" w:space="0" w:color="auto"/>
              <w:right w:val="single" w:sz="12" w:space="0" w:color="auto"/>
            </w:tcBorders>
            <w:shd w:val="clear" w:color="auto" w:fill="C6D9F1" w:themeFill="text2" w:themeFillTint="33"/>
            <w:noWrap/>
            <w:vAlign w:val="center"/>
          </w:tcPr>
          <w:p w14:paraId="34FE6DCD" w14:textId="77777777" w:rsidR="00ED1DBF" w:rsidRPr="00260248" w:rsidRDefault="00ED1DBF" w:rsidP="00D30DFD">
            <w:pPr>
              <w:spacing w:after="0" w:line="240" w:lineRule="auto"/>
              <w:rPr>
                <w:rFonts w:eastAsia="Times New Roman" w:cs="Times New Roman"/>
                <w:color w:val="000000"/>
                <w:sz w:val="20"/>
                <w:szCs w:val="20"/>
              </w:rPr>
            </w:pPr>
          </w:p>
        </w:tc>
        <w:tc>
          <w:tcPr>
            <w:tcW w:w="902" w:type="dxa"/>
            <w:tcBorders>
              <w:left w:val="single" w:sz="12" w:space="0" w:color="auto"/>
              <w:bottom w:val="single" w:sz="4" w:space="0" w:color="auto"/>
            </w:tcBorders>
            <w:shd w:val="clear" w:color="auto" w:fill="C6D9F1" w:themeFill="text2" w:themeFillTint="33"/>
            <w:noWrap/>
            <w:vAlign w:val="center"/>
          </w:tcPr>
          <w:p w14:paraId="1FC72552" w14:textId="77777777" w:rsidR="00ED1DBF" w:rsidRPr="000E5525" w:rsidRDefault="00ED1DBF" w:rsidP="00D30DFD">
            <w:pPr>
              <w:spacing w:after="0" w:line="240" w:lineRule="auto"/>
              <w:jc w:val="center"/>
              <w:rPr>
                <w:rFonts w:eastAsia="Times New Roman" w:cs="Times New Roman"/>
                <w:bCs/>
                <w:color w:val="000000"/>
                <w:sz w:val="20"/>
                <w:szCs w:val="20"/>
              </w:rPr>
            </w:pPr>
            <w:r w:rsidRPr="000E5525">
              <w:rPr>
                <w:rFonts w:eastAsia="Times New Roman" w:cs="Times New Roman"/>
                <w:bCs/>
                <w:color w:val="000000"/>
                <w:sz w:val="20"/>
                <w:szCs w:val="20"/>
              </w:rPr>
              <w:t>31</w:t>
            </w:r>
          </w:p>
        </w:tc>
        <w:tc>
          <w:tcPr>
            <w:tcW w:w="666" w:type="dxa"/>
            <w:vMerge/>
            <w:tcBorders>
              <w:bottom w:val="single" w:sz="4" w:space="0" w:color="auto"/>
              <w:right w:val="single" w:sz="12" w:space="0" w:color="auto"/>
            </w:tcBorders>
            <w:shd w:val="clear" w:color="auto" w:fill="C6D9F1" w:themeFill="text2" w:themeFillTint="33"/>
            <w:vAlign w:val="center"/>
          </w:tcPr>
          <w:p w14:paraId="35EF7815" w14:textId="77777777" w:rsidR="00ED1DBF" w:rsidRPr="000E5525" w:rsidRDefault="00ED1DBF" w:rsidP="00D30DFD">
            <w:pPr>
              <w:spacing w:after="0" w:line="240" w:lineRule="auto"/>
              <w:rPr>
                <w:rFonts w:eastAsia="Times New Roman" w:cs="Times New Roman"/>
                <w:bCs/>
                <w:color w:val="000000"/>
                <w:sz w:val="20"/>
                <w:szCs w:val="20"/>
              </w:rPr>
            </w:pPr>
          </w:p>
        </w:tc>
      </w:tr>
      <w:tr w:rsidR="00ED1DBF" w:rsidRPr="00260248" w14:paraId="268F5F61" w14:textId="77777777" w:rsidTr="00D30DFD">
        <w:trPr>
          <w:trHeight w:val="300"/>
        </w:trPr>
        <w:tc>
          <w:tcPr>
            <w:tcW w:w="1573" w:type="dxa"/>
            <w:vMerge w:val="restart"/>
            <w:tcBorders>
              <w:top w:val="single" w:sz="4" w:space="0" w:color="auto"/>
              <w:left w:val="single" w:sz="12" w:space="0" w:color="auto"/>
            </w:tcBorders>
            <w:shd w:val="clear" w:color="auto" w:fill="auto"/>
            <w:vAlign w:val="center"/>
            <w:hideMark/>
          </w:tcPr>
          <w:p w14:paraId="79FE83F0" w14:textId="77777777" w:rsidR="00ED1DBF" w:rsidRPr="00260248" w:rsidRDefault="00ED1DBF" w:rsidP="00D30DFD">
            <w:pPr>
              <w:spacing w:after="0" w:line="240" w:lineRule="auto"/>
              <w:jc w:val="left"/>
              <w:rPr>
                <w:rFonts w:eastAsia="Times New Roman" w:cs="Times New Roman"/>
                <w:b/>
                <w:bCs/>
                <w:color w:val="000000"/>
                <w:sz w:val="20"/>
                <w:szCs w:val="20"/>
              </w:rPr>
            </w:pPr>
            <w:r>
              <w:rPr>
                <w:rFonts w:eastAsia="Times New Roman" w:cs="Times New Roman"/>
                <w:b/>
                <w:bCs/>
                <w:color w:val="000000"/>
                <w:sz w:val="20"/>
                <w:szCs w:val="20"/>
              </w:rPr>
              <w:t>VAS Neck</w:t>
            </w:r>
            <w:r w:rsidRPr="00260248">
              <w:rPr>
                <w:rFonts w:eastAsia="Times New Roman" w:cs="Times New Roman"/>
                <w:b/>
                <w:bCs/>
                <w:color w:val="000000"/>
                <w:sz w:val="20"/>
                <w:szCs w:val="20"/>
              </w:rPr>
              <w:t xml:space="preserve"> </w:t>
            </w:r>
          </w:p>
        </w:tc>
        <w:tc>
          <w:tcPr>
            <w:tcW w:w="361" w:type="dxa"/>
            <w:tcBorders>
              <w:top w:val="single" w:sz="4" w:space="0" w:color="auto"/>
              <w:right w:val="single" w:sz="12" w:space="0" w:color="auto"/>
            </w:tcBorders>
            <w:shd w:val="clear" w:color="auto" w:fill="auto"/>
            <w:noWrap/>
            <w:vAlign w:val="bottom"/>
            <w:hideMark/>
          </w:tcPr>
          <w:p w14:paraId="34188D7E" w14:textId="77777777" w:rsidR="00ED1DBF" w:rsidRPr="00260248" w:rsidRDefault="00ED1DBF" w:rsidP="00D30DFD">
            <w:pPr>
              <w:spacing w:after="0" w:line="240" w:lineRule="auto"/>
              <w:jc w:val="center"/>
              <w:rPr>
                <w:rFonts w:eastAsia="Times New Roman" w:cs="Times New Roman"/>
                <w:b/>
                <w:bCs/>
                <w:color w:val="000000"/>
                <w:sz w:val="20"/>
                <w:szCs w:val="20"/>
              </w:rPr>
            </w:pPr>
            <w:r w:rsidRPr="00260248">
              <w:rPr>
                <w:rFonts w:eastAsia="Times New Roman" w:cs="Times New Roman"/>
                <w:b/>
                <w:bCs/>
                <w:color w:val="000000"/>
                <w:sz w:val="20"/>
                <w:szCs w:val="20"/>
              </w:rPr>
              <w:t>C</w:t>
            </w:r>
          </w:p>
        </w:tc>
        <w:tc>
          <w:tcPr>
            <w:tcW w:w="839" w:type="dxa"/>
            <w:tcBorders>
              <w:top w:val="single" w:sz="4" w:space="0" w:color="auto"/>
              <w:left w:val="single" w:sz="12" w:space="0" w:color="auto"/>
            </w:tcBorders>
            <w:shd w:val="clear" w:color="auto" w:fill="auto"/>
            <w:noWrap/>
            <w:vAlign w:val="bottom"/>
          </w:tcPr>
          <w:p w14:paraId="2CF8E5A1" w14:textId="77777777" w:rsidR="00ED1DBF" w:rsidRPr="000E5525" w:rsidRDefault="00ED1DBF" w:rsidP="00D30DFD">
            <w:pPr>
              <w:spacing w:after="0" w:line="240" w:lineRule="auto"/>
              <w:jc w:val="center"/>
              <w:rPr>
                <w:rFonts w:eastAsia="Times New Roman" w:cs="Times New Roman"/>
                <w:b/>
                <w:color w:val="000000"/>
                <w:sz w:val="20"/>
                <w:szCs w:val="20"/>
              </w:rPr>
            </w:pPr>
            <w:r w:rsidRPr="000E5525">
              <w:rPr>
                <w:rFonts w:eastAsia="Times New Roman" w:cs="Times New Roman"/>
                <w:b/>
                <w:color w:val="000000"/>
                <w:sz w:val="20"/>
                <w:szCs w:val="20"/>
              </w:rPr>
              <w:t>5.9</w:t>
            </w:r>
          </w:p>
        </w:tc>
        <w:tc>
          <w:tcPr>
            <w:tcW w:w="672" w:type="dxa"/>
            <w:vMerge w:val="restart"/>
            <w:tcBorders>
              <w:top w:val="single" w:sz="4" w:space="0" w:color="auto"/>
              <w:right w:val="single" w:sz="12" w:space="0" w:color="auto"/>
            </w:tcBorders>
            <w:shd w:val="clear" w:color="auto" w:fill="auto"/>
            <w:noWrap/>
            <w:vAlign w:val="center"/>
          </w:tcPr>
          <w:p w14:paraId="638E1692" w14:textId="77777777" w:rsidR="00ED1DBF" w:rsidRPr="000E5525" w:rsidRDefault="00ED1DBF" w:rsidP="00D30DFD">
            <w:pPr>
              <w:spacing w:after="0" w:line="240" w:lineRule="auto"/>
              <w:jc w:val="center"/>
              <w:rPr>
                <w:rFonts w:eastAsia="Times New Roman" w:cs="Times New Roman"/>
                <w:b/>
                <w:color w:val="000000"/>
                <w:sz w:val="20"/>
                <w:szCs w:val="20"/>
              </w:rPr>
            </w:pPr>
            <w:r w:rsidRPr="000E5525">
              <w:rPr>
                <w:rFonts w:eastAsia="Times New Roman" w:cs="Times New Roman"/>
                <w:b/>
                <w:color w:val="000000"/>
                <w:sz w:val="20"/>
                <w:szCs w:val="20"/>
              </w:rPr>
              <w:t>0.003</w:t>
            </w:r>
          </w:p>
        </w:tc>
        <w:tc>
          <w:tcPr>
            <w:tcW w:w="839" w:type="dxa"/>
            <w:tcBorders>
              <w:top w:val="single" w:sz="4" w:space="0" w:color="auto"/>
              <w:left w:val="single" w:sz="12" w:space="0" w:color="auto"/>
            </w:tcBorders>
            <w:shd w:val="clear" w:color="auto" w:fill="auto"/>
            <w:noWrap/>
            <w:vAlign w:val="center"/>
          </w:tcPr>
          <w:p w14:paraId="5D04CB02"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5.5</w:t>
            </w:r>
          </w:p>
        </w:tc>
        <w:tc>
          <w:tcPr>
            <w:tcW w:w="320" w:type="dxa"/>
            <w:vMerge w:val="restart"/>
            <w:tcBorders>
              <w:top w:val="single" w:sz="4" w:space="0" w:color="auto"/>
              <w:right w:val="single" w:sz="12" w:space="0" w:color="auto"/>
            </w:tcBorders>
            <w:shd w:val="clear" w:color="auto" w:fill="auto"/>
            <w:noWrap/>
            <w:vAlign w:val="center"/>
          </w:tcPr>
          <w:p w14:paraId="1BED021E"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0.13</w:t>
            </w:r>
          </w:p>
        </w:tc>
        <w:tc>
          <w:tcPr>
            <w:tcW w:w="1275" w:type="dxa"/>
            <w:tcBorders>
              <w:top w:val="single" w:sz="4" w:space="0" w:color="auto"/>
              <w:left w:val="single" w:sz="12" w:space="0" w:color="auto"/>
            </w:tcBorders>
            <w:shd w:val="clear" w:color="auto" w:fill="auto"/>
            <w:noWrap/>
            <w:vAlign w:val="center"/>
          </w:tcPr>
          <w:p w14:paraId="6E76EC12"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5.2</w:t>
            </w:r>
          </w:p>
        </w:tc>
        <w:tc>
          <w:tcPr>
            <w:tcW w:w="672" w:type="dxa"/>
            <w:vMerge w:val="restart"/>
            <w:tcBorders>
              <w:top w:val="single" w:sz="4" w:space="0" w:color="auto"/>
              <w:right w:val="single" w:sz="12" w:space="0" w:color="auto"/>
            </w:tcBorders>
            <w:shd w:val="clear" w:color="auto" w:fill="auto"/>
            <w:vAlign w:val="center"/>
          </w:tcPr>
          <w:p w14:paraId="634B7110"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0.13</w:t>
            </w:r>
          </w:p>
        </w:tc>
        <w:tc>
          <w:tcPr>
            <w:tcW w:w="902" w:type="dxa"/>
            <w:tcBorders>
              <w:top w:val="single" w:sz="4" w:space="0" w:color="auto"/>
              <w:left w:val="single" w:sz="12" w:space="0" w:color="auto"/>
            </w:tcBorders>
            <w:shd w:val="clear" w:color="auto" w:fill="auto"/>
            <w:noWrap/>
            <w:vAlign w:val="center"/>
          </w:tcPr>
          <w:p w14:paraId="603D5CD6" w14:textId="77777777" w:rsidR="00ED1DBF" w:rsidRPr="000E5525" w:rsidRDefault="00ED1DBF" w:rsidP="00D30DFD">
            <w:pPr>
              <w:spacing w:after="0" w:line="240" w:lineRule="auto"/>
              <w:jc w:val="center"/>
              <w:rPr>
                <w:rFonts w:eastAsia="Times New Roman" w:cs="Times New Roman"/>
                <w:bCs/>
                <w:color w:val="000000"/>
                <w:sz w:val="20"/>
                <w:szCs w:val="20"/>
              </w:rPr>
            </w:pPr>
            <w:r w:rsidRPr="000E5525">
              <w:rPr>
                <w:rFonts w:eastAsia="Times New Roman" w:cs="Times New Roman"/>
                <w:bCs/>
                <w:color w:val="000000"/>
                <w:sz w:val="20"/>
                <w:szCs w:val="20"/>
              </w:rPr>
              <w:t>2.3</w:t>
            </w:r>
          </w:p>
        </w:tc>
        <w:tc>
          <w:tcPr>
            <w:tcW w:w="666" w:type="dxa"/>
            <w:vMerge w:val="restart"/>
            <w:tcBorders>
              <w:top w:val="single" w:sz="4" w:space="0" w:color="auto"/>
              <w:right w:val="single" w:sz="12" w:space="0" w:color="auto"/>
            </w:tcBorders>
            <w:shd w:val="clear" w:color="auto" w:fill="auto"/>
            <w:noWrap/>
            <w:vAlign w:val="center"/>
          </w:tcPr>
          <w:p w14:paraId="2D1F5868" w14:textId="77777777" w:rsidR="00ED1DBF" w:rsidRPr="000E5525" w:rsidRDefault="00ED1DBF" w:rsidP="00D30DFD">
            <w:pPr>
              <w:spacing w:after="0" w:line="240" w:lineRule="auto"/>
              <w:jc w:val="center"/>
              <w:rPr>
                <w:rFonts w:eastAsia="Times New Roman" w:cs="Times New Roman"/>
                <w:bCs/>
                <w:color w:val="000000"/>
                <w:sz w:val="20"/>
                <w:szCs w:val="20"/>
              </w:rPr>
            </w:pPr>
            <w:r w:rsidRPr="000E5525">
              <w:rPr>
                <w:rFonts w:eastAsia="Times New Roman" w:cs="Times New Roman"/>
                <w:bCs/>
                <w:color w:val="000000"/>
                <w:sz w:val="20"/>
                <w:szCs w:val="20"/>
              </w:rPr>
              <w:t>0.6</w:t>
            </w:r>
          </w:p>
        </w:tc>
      </w:tr>
      <w:tr w:rsidR="00ED1DBF" w:rsidRPr="00260248" w14:paraId="3FC5396F" w14:textId="77777777" w:rsidTr="00D30DFD">
        <w:trPr>
          <w:trHeight w:val="300"/>
        </w:trPr>
        <w:tc>
          <w:tcPr>
            <w:tcW w:w="1573" w:type="dxa"/>
            <w:vMerge/>
            <w:tcBorders>
              <w:left w:val="single" w:sz="12" w:space="0" w:color="auto"/>
              <w:bottom w:val="single" w:sz="4" w:space="0" w:color="auto"/>
            </w:tcBorders>
            <w:vAlign w:val="center"/>
            <w:hideMark/>
          </w:tcPr>
          <w:p w14:paraId="654ADEA8" w14:textId="77777777" w:rsidR="00ED1DBF" w:rsidRPr="00260248" w:rsidRDefault="00ED1DBF" w:rsidP="00D30DFD">
            <w:pPr>
              <w:spacing w:after="0" w:line="240" w:lineRule="auto"/>
              <w:jc w:val="left"/>
              <w:rPr>
                <w:rFonts w:eastAsia="Times New Roman" w:cs="Times New Roman"/>
                <w:b/>
                <w:bCs/>
                <w:color w:val="000000"/>
                <w:sz w:val="20"/>
                <w:szCs w:val="20"/>
              </w:rPr>
            </w:pPr>
          </w:p>
        </w:tc>
        <w:tc>
          <w:tcPr>
            <w:tcW w:w="361" w:type="dxa"/>
            <w:tcBorders>
              <w:bottom w:val="single" w:sz="4" w:space="0" w:color="auto"/>
              <w:right w:val="single" w:sz="12" w:space="0" w:color="auto"/>
            </w:tcBorders>
            <w:shd w:val="clear" w:color="auto" w:fill="auto"/>
            <w:noWrap/>
            <w:vAlign w:val="bottom"/>
            <w:hideMark/>
          </w:tcPr>
          <w:p w14:paraId="044CCBBF" w14:textId="77777777" w:rsidR="00ED1DBF" w:rsidRPr="00260248" w:rsidRDefault="00ED1DBF" w:rsidP="00D30DFD">
            <w:pPr>
              <w:spacing w:after="0" w:line="240" w:lineRule="auto"/>
              <w:jc w:val="center"/>
              <w:rPr>
                <w:rFonts w:eastAsia="Times New Roman" w:cs="Times New Roman"/>
                <w:b/>
                <w:bCs/>
                <w:color w:val="000000"/>
                <w:sz w:val="20"/>
                <w:szCs w:val="20"/>
              </w:rPr>
            </w:pPr>
            <w:r w:rsidRPr="00260248">
              <w:rPr>
                <w:rFonts w:eastAsia="Times New Roman" w:cs="Times New Roman"/>
                <w:b/>
                <w:bCs/>
                <w:color w:val="000000"/>
                <w:sz w:val="20"/>
                <w:szCs w:val="20"/>
              </w:rPr>
              <w:t>S</w:t>
            </w:r>
          </w:p>
        </w:tc>
        <w:tc>
          <w:tcPr>
            <w:tcW w:w="839" w:type="dxa"/>
            <w:tcBorders>
              <w:left w:val="single" w:sz="12" w:space="0" w:color="auto"/>
              <w:bottom w:val="single" w:sz="4" w:space="0" w:color="auto"/>
            </w:tcBorders>
            <w:shd w:val="clear" w:color="auto" w:fill="auto"/>
            <w:noWrap/>
            <w:vAlign w:val="bottom"/>
          </w:tcPr>
          <w:p w14:paraId="11310368" w14:textId="77777777" w:rsidR="00ED1DBF" w:rsidRPr="000E5525" w:rsidRDefault="00ED1DBF" w:rsidP="00D30DFD">
            <w:pPr>
              <w:spacing w:after="0" w:line="240" w:lineRule="auto"/>
              <w:jc w:val="center"/>
              <w:rPr>
                <w:rFonts w:eastAsia="Times New Roman" w:cs="Times New Roman"/>
                <w:b/>
                <w:color w:val="000000"/>
                <w:sz w:val="20"/>
                <w:szCs w:val="20"/>
              </w:rPr>
            </w:pPr>
            <w:r w:rsidRPr="000E5525">
              <w:rPr>
                <w:rFonts w:eastAsia="Times New Roman" w:cs="Times New Roman"/>
                <w:b/>
                <w:color w:val="000000"/>
                <w:sz w:val="20"/>
                <w:szCs w:val="20"/>
              </w:rPr>
              <w:t>3.8</w:t>
            </w:r>
          </w:p>
        </w:tc>
        <w:tc>
          <w:tcPr>
            <w:tcW w:w="672" w:type="dxa"/>
            <w:vMerge/>
            <w:tcBorders>
              <w:bottom w:val="single" w:sz="4" w:space="0" w:color="auto"/>
              <w:right w:val="single" w:sz="12" w:space="0" w:color="auto"/>
            </w:tcBorders>
            <w:vAlign w:val="center"/>
          </w:tcPr>
          <w:p w14:paraId="205C55EB" w14:textId="77777777" w:rsidR="00ED1DBF" w:rsidRPr="000E5525" w:rsidRDefault="00ED1DBF" w:rsidP="00D30DFD">
            <w:pPr>
              <w:spacing w:after="0" w:line="240" w:lineRule="auto"/>
              <w:rPr>
                <w:rFonts w:eastAsia="Times New Roman" w:cs="Times New Roman"/>
                <w:b/>
                <w:color w:val="000000"/>
                <w:sz w:val="20"/>
                <w:szCs w:val="20"/>
              </w:rPr>
            </w:pPr>
          </w:p>
        </w:tc>
        <w:tc>
          <w:tcPr>
            <w:tcW w:w="839" w:type="dxa"/>
            <w:tcBorders>
              <w:left w:val="single" w:sz="12" w:space="0" w:color="auto"/>
              <w:bottom w:val="single" w:sz="4" w:space="0" w:color="auto"/>
            </w:tcBorders>
            <w:shd w:val="clear" w:color="auto" w:fill="auto"/>
            <w:noWrap/>
            <w:vAlign w:val="center"/>
          </w:tcPr>
          <w:p w14:paraId="1158E780"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4.2</w:t>
            </w:r>
          </w:p>
        </w:tc>
        <w:tc>
          <w:tcPr>
            <w:tcW w:w="320" w:type="dxa"/>
            <w:vMerge/>
            <w:tcBorders>
              <w:bottom w:val="single" w:sz="4" w:space="0" w:color="auto"/>
              <w:right w:val="single" w:sz="12" w:space="0" w:color="auto"/>
            </w:tcBorders>
            <w:vAlign w:val="center"/>
          </w:tcPr>
          <w:p w14:paraId="1AB5C5C9" w14:textId="77777777" w:rsidR="00ED1DBF" w:rsidRPr="00260248" w:rsidRDefault="00ED1DBF" w:rsidP="00D30DFD">
            <w:pPr>
              <w:spacing w:after="0" w:line="240" w:lineRule="auto"/>
              <w:rPr>
                <w:rFonts w:eastAsia="Times New Roman" w:cs="Times New Roman"/>
                <w:color w:val="000000"/>
                <w:sz w:val="20"/>
                <w:szCs w:val="20"/>
              </w:rPr>
            </w:pPr>
          </w:p>
        </w:tc>
        <w:tc>
          <w:tcPr>
            <w:tcW w:w="1275" w:type="dxa"/>
            <w:tcBorders>
              <w:left w:val="single" w:sz="12" w:space="0" w:color="auto"/>
              <w:bottom w:val="single" w:sz="4" w:space="0" w:color="auto"/>
            </w:tcBorders>
            <w:shd w:val="clear" w:color="auto" w:fill="auto"/>
            <w:noWrap/>
            <w:vAlign w:val="center"/>
          </w:tcPr>
          <w:p w14:paraId="4A7170E8"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3.8</w:t>
            </w:r>
          </w:p>
        </w:tc>
        <w:tc>
          <w:tcPr>
            <w:tcW w:w="672" w:type="dxa"/>
            <w:vMerge/>
            <w:tcBorders>
              <w:bottom w:val="single" w:sz="4" w:space="0" w:color="auto"/>
              <w:right w:val="single" w:sz="12" w:space="0" w:color="auto"/>
            </w:tcBorders>
            <w:vAlign w:val="center"/>
          </w:tcPr>
          <w:p w14:paraId="7D0559A8" w14:textId="77777777" w:rsidR="00ED1DBF" w:rsidRPr="00260248" w:rsidRDefault="00ED1DBF" w:rsidP="00D30DFD">
            <w:pPr>
              <w:spacing w:after="0" w:line="240" w:lineRule="auto"/>
              <w:rPr>
                <w:rFonts w:eastAsia="Times New Roman" w:cs="Times New Roman"/>
                <w:color w:val="000000"/>
                <w:sz w:val="20"/>
                <w:szCs w:val="20"/>
              </w:rPr>
            </w:pPr>
          </w:p>
        </w:tc>
        <w:tc>
          <w:tcPr>
            <w:tcW w:w="902" w:type="dxa"/>
            <w:tcBorders>
              <w:left w:val="single" w:sz="12" w:space="0" w:color="auto"/>
              <w:bottom w:val="single" w:sz="4" w:space="0" w:color="auto"/>
            </w:tcBorders>
            <w:shd w:val="clear" w:color="auto" w:fill="auto"/>
            <w:noWrap/>
            <w:vAlign w:val="center"/>
          </w:tcPr>
          <w:p w14:paraId="514D7904" w14:textId="77777777" w:rsidR="00ED1DBF" w:rsidRPr="000E5525" w:rsidRDefault="00ED1DBF" w:rsidP="00D30DFD">
            <w:pPr>
              <w:spacing w:after="0" w:line="240" w:lineRule="auto"/>
              <w:jc w:val="center"/>
              <w:rPr>
                <w:rFonts w:eastAsia="Times New Roman" w:cs="Times New Roman"/>
                <w:bCs/>
                <w:color w:val="000000"/>
                <w:sz w:val="20"/>
                <w:szCs w:val="20"/>
              </w:rPr>
            </w:pPr>
            <w:r w:rsidRPr="000E5525">
              <w:rPr>
                <w:rFonts w:eastAsia="Times New Roman" w:cs="Times New Roman"/>
                <w:bCs/>
                <w:color w:val="000000"/>
                <w:sz w:val="20"/>
                <w:szCs w:val="20"/>
              </w:rPr>
              <w:t>2</w:t>
            </w:r>
            <w:r>
              <w:rPr>
                <w:rFonts w:eastAsia="Times New Roman" w:cs="Times New Roman"/>
                <w:bCs/>
                <w:color w:val="000000"/>
                <w:sz w:val="20"/>
                <w:szCs w:val="20"/>
              </w:rPr>
              <w:t>.0</w:t>
            </w:r>
          </w:p>
        </w:tc>
        <w:tc>
          <w:tcPr>
            <w:tcW w:w="666" w:type="dxa"/>
            <w:vMerge/>
            <w:tcBorders>
              <w:bottom w:val="single" w:sz="4" w:space="0" w:color="auto"/>
              <w:right w:val="single" w:sz="12" w:space="0" w:color="auto"/>
            </w:tcBorders>
            <w:vAlign w:val="center"/>
          </w:tcPr>
          <w:p w14:paraId="24287961" w14:textId="77777777" w:rsidR="00ED1DBF" w:rsidRPr="000E5525" w:rsidRDefault="00ED1DBF" w:rsidP="00D30DFD">
            <w:pPr>
              <w:spacing w:after="0" w:line="240" w:lineRule="auto"/>
              <w:rPr>
                <w:rFonts w:eastAsia="Times New Roman" w:cs="Times New Roman"/>
                <w:bCs/>
                <w:color w:val="000000"/>
                <w:sz w:val="20"/>
                <w:szCs w:val="20"/>
              </w:rPr>
            </w:pPr>
          </w:p>
        </w:tc>
      </w:tr>
      <w:tr w:rsidR="00ED1DBF" w:rsidRPr="00260248" w14:paraId="2759E264" w14:textId="77777777" w:rsidTr="00D30DFD">
        <w:trPr>
          <w:trHeight w:val="300"/>
        </w:trPr>
        <w:tc>
          <w:tcPr>
            <w:tcW w:w="1573" w:type="dxa"/>
            <w:vMerge w:val="restart"/>
            <w:tcBorders>
              <w:top w:val="single" w:sz="4" w:space="0" w:color="auto"/>
              <w:left w:val="single" w:sz="12" w:space="0" w:color="auto"/>
            </w:tcBorders>
            <w:shd w:val="clear" w:color="auto" w:fill="C6D9F1" w:themeFill="text2" w:themeFillTint="33"/>
            <w:vAlign w:val="center"/>
            <w:hideMark/>
          </w:tcPr>
          <w:p w14:paraId="0C391DD6" w14:textId="77777777" w:rsidR="00ED1DBF" w:rsidRPr="00260248" w:rsidRDefault="00ED1DBF" w:rsidP="00D30DFD">
            <w:pPr>
              <w:spacing w:after="0" w:line="240" w:lineRule="auto"/>
              <w:jc w:val="left"/>
              <w:rPr>
                <w:rFonts w:eastAsia="Times New Roman" w:cs="Times New Roman"/>
                <w:b/>
                <w:bCs/>
                <w:color w:val="000000"/>
                <w:sz w:val="20"/>
                <w:szCs w:val="20"/>
              </w:rPr>
            </w:pPr>
            <w:r>
              <w:rPr>
                <w:rFonts w:eastAsia="Times New Roman" w:cs="Times New Roman"/>
                <w:b/>
                <w:bCs/>
                <w:color w:val="000000"/>
                <w:sz w:val="20"/>
                <w:szCs w:val="20"/>
              </w:rPr>
              <w:t>VAS Right Arm</w:t>
            </w:r>
            <w:r w:rsidRPr="00260248">
              <w:rPr>
                <w:rFonts w:eastAsia="Times New Roman" w:cs="Times New Roman"/>
                <w:b/>
                <w:bCs/>
                <w:color w:val="000000"/>
                <w:sz w:val="20"/>
                <w:szCs w:val="20"/>
              </w:rPr>
              <w:t xml:space="preserve"> </w:t>
            </w:r>
          </w:p>
        </w:tc>
        <w:tc>
          <w:tcPr>
            <w:tcW w:w="361" w:type="dxa"/>
            <w:tcBorders>
              <w:top w:val="single" w:sz="4" w:space="0" w:color="auto"/>
              <w:right w:val="single" w:sz="12" w:space="0" w:color="auto"/>
            </w:tcBorders>
            <w:shd w:val="clear" w:color="auto" w:fill="C6D9F1" w:themeFill="text2" w:themeFillTint="33"/>
            <w:noWrap/>
            <w:vAlign w:val="bottom"/>
            <w:hideMark/>
          </w:tcPr>
          <w:p w14:paraId="063A4B4D" w14:textId="77777777" w:rsidR="00ED1DBF" w:rsidRPr="00260248" w:rsidRDefault="00ED1DBF" w:rsidP="00D30DFD">
            <w:pPr>
              <w:spacing w:after="0" w:line="240" w:lineRule="auto"/>
              <w:jc w:val="center"/>
              <w:rPr>
                <w:rFonts w:eastAsia="Times New Roman" w:cs="Times New Roman"/>
                <w:b/>
                <w:bCs/>
                <w:color w:val="000000"/>
                <w:sz w:val="20"/>
                <w:szCs w:val="20"/>
              </w:rPr>
            </w:pPr>
            <w:r w:rsidRPr="00260248">
              <w:rPr>
                <w:rFonts w:eastAsia="Times New Roman" w:cs="Times New Roman"/>
                <w:b/>
                <w:bCs/>
                <w:color w:val="000000"/>
                <w:sz w:val="20"/>
                <w:szCs w:val="20"/>
              </w:rPr>
              <w:t>C</w:t>
            </w:r>
          </w:p>
        </w:tc>
        <w:tc>
          <w:tcPr>
            <w:tcW w:w="839" w:type="dxa"/>
            <w:tcBorders>
              <w:top w:val="single" w:sz="4" w:space="0" w:color="auto"/>
              <w:left w:val="single" w:sz="12" w:space="0" w:color="auto"/>
            </w:tcBorders>
            <w:shd w:val="clear" w:color="auto" w:fill="C6D9F1" w:themeFill="text2" w:themeFillTint="33"/>
            <w:noWrap/>
            <w:vAlign w:val="bottom"/>
          </w:tcPr>
          <w:p w14:paraId="05677110" w14:textId="77777777" w:rsidR="00ED1DBF" w:rsidRPr="000E5525" w:rsidRDefault="00ED1DBF" w:rsidP="00D30DFD">
            <w:pPr>
              <w:spacing w:after="0" w:line="240" w:lineRule="auto"/>
              <w:jc w:val="center"/>
              <w:rPr>
                <w:rFonts w:eastAsia="Times New Roman" w:cs="Times New Roman"/>
                <w:b/>
                <w:color w:val="000000"/>
                <w:sz w:val="20"/>
                <w:szCs w:val="20"/>
              </w:rPr>
            </w:pPr>
            <w:r w:rsidRPr="000E5525">
              <w:rPr>
                <w:rFonts w:eastAsia="Times New Roman" w:cs="Times New Roman"/>
                <w:b/>
                <w:color w:val="000000"/>
                <w:sz w:val="20"/>
                <w:szCs w:val="20"/>
              </w:rPr>
              <w:t>3.8</w:t>
            </w:r>
          </w:p>
        </w:tc>
        <w:tc>
          <w:tcPr>
            <w:tcW w:w="672" w:type="dxa"/>
            <w:vMerge w:val="restart"/>
            <w:tcBorders>
              <w:top w:val="single" w:sz="4" w:space="0" w:color="auto"/>
              <w:right w:val="single" w:sz="12" w:space="0" w:color="auto"/>
            </w:tcBorders>
            <w:shd w:val="clear" w:color="auto" w:fill="C6D9F1" w:themeFill="text2" w:themeFillTint="33"/>
            <w:noWrap/>
            <w:vAlign w:val="center"/>
          </w:tcPr>
          <w:p w14:paraId="6C692D1B" w14:textId="77777777" w:rsidR="00ED1DBF" w:rsidRPr="000E5525" w:rsidRDefault="00ED1DBF" w:rsidP="00D30DFD">
            <w:pPr>
              <w:spacing w:after="0" w:line="240" w:lineRule="auto"/>
              <w:jc w:val="center"/>
              <w:rPr>
                <w:rFonts w:eastAsia="Times New Roman" w:cs="Times New Roman"/>
                <w:b/>
                <w:color w:val="000000"/>
                <w:sz w:val="20"/>
                <w:szCs w:val="20"/>
              </w:rPr>
            </w:pPr>
            <w:r w:rsidRPr="000E5525">
              <w:rPr>
                <w:rFonts w:eastAsia="Times New Roman" w:cs="Times New Roman"/>
                <w:b/>
                <w:color w:val="000000"/>
                <w:sz w:val="20"/>
                <w:szCs w:val="20"/>
              </w:rPr>
              <w:t>0.002</w:t>
            </w:r>
          </w:p>
        </w:tc>
        <w:tc>
          <w:tcPr>
            <w:tcW w:w="839" w:type="dxa"/>
            <w:tcBorders>
              <w:top w:val="single" w:sz="4" w:space="0" w:color="auto"/>
              <w:left w:val="single" w:sz="12" w:space="0" w:color="auto"/>
            </w:tcBorders>
            <w:shd w:val="clear" w:color="auto" w:fill="C6D9F1" w:themeFill="text2" w:themeFillTint="33"/>
            <w:noWrap/>
            <w:vAlign w:val="center"/>
          </w:tcPr>
          <w:p w14:paraId="19F44ACA"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1.1</w:t>
            </w:r>
          </w:p>
        </w:tc>
        <w:tc>
          <w:tcPr>
            <w:tcW w:w="320" w:type="dxa"/>
            <w:vMerge w:val="restart"/>
            <w:tcBorders>
              <w:top w:val="single" w:sz="4" w:space="0" w:color="auto"/>
              <w:right w:val="single" w:sz="12" w:space="0" w:color="auto"/>
            </w:tcBorders>
            <w:shd w:val="clear" w:color="auto" w:fill="C6D9F1" w:themeFill="text2" w:themeFillTint="33"/>
            <w:noWrap/>
            <w:vAlign w:val="center"/>
          </w:tcPr>
          <w:p w14:paraId="4BE5E31A"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0.9</w:t>
            </w:r>
          </w:p>
        </w:tc>
        <w:tc>
          <w:tcPr>
            <w:tcW w:w="1275" w:type="dxa"/>
            <w:tcBorders>
              <w:top w:val="single" w:sz="4" w:space="0" w:color="auto"/>
              <w:left w:val="single" w:sz="12" w:space="0" w:color="auto"/>
            </w:tcBorders>
            <w:shd w:val="clear" w:color="auto" w:fill="C6D9F1" w:themeFill="text2" w:themeFillTint="33"/>
            <w:noWrap/>
            <w:vAlign w:val="center"/>
          </w:tcPr>
          <w:p w14:paraId="4D462D5E"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1.7</w:t>
            </w:r>
          </w:p>
        </w:tc>
        <w:tc>
          <w:tcPr>
            <w:tcW w:w="672" w:type="dxa"/>
            <w:vMerge w:val="restart"/>
            <w:tcBorders>
              <w:top w:val="single" w:sz="4" w:space="0" w:color="auto"/>
              <w:right w:val="single" w:sz="12" w:space="0" w:color="auto"/>
            </w:tcBorders>
            <w:shd w:val="clear" w:color="auto" w:fill="C6D9F1" w:themeFill="text2" w:themeFillTint="33"/>
            <w:vAlign w:val="center"/>
          </w:tcPr>
          <w:p w14:paraId="18474F95"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0.5</w:t>
            </w:r>
          </w:p>
        </w:tc>
        <w:tc>
          <w:tcPr>
            <w:tcW w:w="902" w:type="dxa"/>
            <w:tcBorders>
              <w:top w:val="single" w:sz="4" w:space="0" w:color="auto"/>
              <w:left w:val="single" w:sz="12" w:space="0" w:color="auto"/>
            </w:tcBorders>
            <w:shd w:val="clear" w:color="auto" w:fill="C6D9F1" w:themeFill="text2" w:themeFillTint="33"/>
            <w:noWrap/>
            <w:vAlign w:val="center"/>
          </w:tcPr>
          <w:p w14:paraId="02C4D835" w14:textId="77777777" w:rsidR="00ED1DBF" w:rsidRPr="000E5525" w:rsidRDefault="00ED1DBF" w:rsidP="00D30DFD">
            <w:pPr>
              <w:spacing w:after="0" w:line="240" w:lineRule="auto"/>
              <w:jc w:val="center"/>
              <w:rPr>
                <w:rFonts w:eastAsia="Times New Roman" w:cs="Times New Roman"/>
                <w:b/>
                <w:bCs/>
                <w:color w:val="000000"/>
                <w:sz w:val="20"/>
                <w:szCs w:val="20"/>
              </w:rPr>
            </w:pPr>
            <w:r w:rsidRPr="000E5525">
              <w:rPr>
                <w:rFonts w:eastAsia="Times New Roman" w:cs="Times New Roman"/>
                <w:b/>
                <w:bCs/>
                <w:color w:val="000000"/>
                <w:sz w:val="20"/>
                <w:szCs w:val="20"/>
              </w:rPr>
              <w:t>1.8</w:t>
            </w:r>
          </w:p>
        </w:tc>
        <w:tc>
          <w:tcPr>
            <w:tcW w:w="666" w:type="dxa"/>
            <w:vMerge w:val="restart"/>
            <w:tcBorders>
              <w:top w:val="single" w:sz="4" w:space="0" w:color="auto"/>
              <w:right w:val="single" w:sz="12" w:space="0" w:color="auto"/>
            </w:tcBorders>
            <w:shd w:val="clear" w:color="auto" w:fill="C6D9F1" w:themeFill="text2" w:themeFillTint="33"/>
            <w:noWrap/>
            <w:vAlign w:val="center"/>
          </w:tcPr>
          <w:p w14:paraId="54A70AE5" w14:textId="77777777" w:rsidR="00ED1DBF" w:rsidRPr="000E5525" w:rsidRDefault="00ED1DBF" w:rsidP="00D30DFD">
            <w:pPr>
              <w:spacing w:after="0" w:line="240" w:lineRule="auto"/>
              <w:jc w:val="center"/>
              <w:rPr>
                <w:rFonts w:eastAsia="Times New Roman" w:cs="Times New Roman"/>
                <w:b/>
                <w:bCs/>
                <w:color w:val="000000"/>
                <w:sz w:val="20"/>
                <w:szCs w:val="20"/>
              </w:rPr>
            </w:pPr>
            <w:r w:rsidRPr="000E5525">
              <w:rPr>
                <w:rFonts w:eastAsia="Times New Roman" w:cs="Times New Roman"/>
                <w:b/>
                <w:bCs/>
                <w:color w:val="000000"/>
                <w:sz w:val="20"/>
                <w:szCs w:val="20"/>
              </w:rPr>
              <w:t>0.04</w:t>
            </w:r>
          </w:p>
        </w:tc>
      </w:tr>
      <w:tr w:rsidR="00ED1DBF" w:rsidRPr="00260248" w14:paraId="61AB11D0" w14:textId="77777777" w:rsidTr="00D30DFD">
        <w:trPr>
          <w:trHeight w:val="300"/>
        </w:trPr>
        <w:tc>
          <w:tcPr>
            <w:tcW w:w="1573" w:type="dxa"/>
            <w:vMerge/>
            <w:tcBorders>
              <w:left w:val="single" w:sz="12" w:space="0" w:color="auto"/>
              <w:bottom w:val="single" w:sz="4" w:space="0" w:color="auto"/>
            </w:tcBorders>
            <w:shd w:val="clear" w:color="auto" w:fill="C6D9F1" w:themeFill="text2" w:themeFillTint="33"/>
            <w:vAlign w:val="center"/>
            <w:hideMark/>
          </w:tcPr>
          <w:p w14:paraId="3E4ECFB9" w14:textId="77777777" w:rsidR="00ED1DBF" w:rsidRPr="00260248" w:rsidRDefault="00ED1DBF" w:rsidP="00D30DFD">
            <w:pPr>
              <w:spacing w:after="0" w:line="240" w:lineRule="auto"/>
              <w:jc w:val="left"/>
              <w:rPr>
                <w:rFonts w:eastAsia="Times New Roman" w:cs="Times New Roman"/>
                <w:b/>
                <w:bCs/>
                <w:color w:val="000000"/>
                <w:sz w:val="20"/>
                <w:szCs w:val="20"/>
              </w:rPr>
            </w:pPr>
          </w:p>
        </w:tc>
        <w:tc>
          <w:tcPr>
            <w:tcW w:w="361" w:type="dxa"/>
            <w:tcBorders>
              <w:bottom w:val="single" w:sz="4" w:space="0" w:color="auto"/>
              <w:right w:val="single" w:sz="12" w:space="0" w:color="auto"/>
            </w:tcBorders>
            <w:shd w:val="clear" w:color="auto" w:fill="C6D9F1" w:themeFill="text2" w:themeFillTint="33"/>
            <w:noWrap/>
            <w:vAlign w:val="bottom"/>
            <w:hideMark/>
          </w:tcPr>
          <w:p w14:paraId="7083CB4A" w14:textId="77777777" w:rsidR="00ED1DBF" w:rsidRPr="00260248" w:rsidRDefault="00ED1DBF" w:rsidP="00D30DFD">
            <w:pPr>
              <w:spacing w:after="0" w:line="240" w:lineRule="auto"/>
              <w:jc w:val="center"/>
              <w:rPr>
                <w:rFonts w:eastAsia="Times New Roman" w:cs="Times New Roman"/>
                <w:b/>
                <w:bCs/>
                <w:color w:val="000000"/>
                <w:sz w:val="20"/>
                <w:szCs w:val="20"/>
              </w:rPr>
            </w:pPr>
            <w:r w:rsidRPr="00260248">
              <w:rPr>
                <w:rFonts w:eastAsia="Times New Roman" w:cs="Times New Roman"/>
                <w:b/>
                <w:bCs/>
                <w:color w:val="000000"/>
                <w:sz w:val="20"/>
                <w:szCs w:val="20"/>
              </w:rPr>
              <w:t>S</w:t>
            </w:r>
          </w:p>
        </w:tc>
        <w:tc>
          <w:tcPr>
            <w:tcW w:w="839" w:type="dxa"/>
            <w:tcBorders>
              <w:left w:val="single" w:sz="12" w:space="0" w:color="auto"/>
              <w:bottom w:val="single" w:sz="4" w:space="0" w:color="auto"/>
            </w:tcBorders>
            <w:shd w:val="clear" w:color="auto" w:fill="C6D9F1" w:themeFill="text2" w:themeFillTint="33"/>
            <w:noWrap/>
            <w:vAlign w:val="bottom"/>
          </w:tcPr>
          <w:p w14:paraId="0B1AC2FB" w14:textId="77777777" w:rsidR="00ED1DBF" w:rsidRPr="000E5525" w:rsidRDefault="00ED1DBF" w:rsidP="00D30DFD">
            <w:pPr>
              <w:spacing w:after="0" w:line="240" w:lineRule="auto"/>
              <w:jc w:val="center"/>
              <w:rPr>
                <w:rFonts w:eastAsia="Times New Roman" w:cs="Times New Roman"/>
                <w:b/>
                <w:color w:val="000000"/>
                <w:sz w:val="20"/>
                <w:szCs w:val="20"/>
              </w:rPr>
            </w:pPr>
            <w:r w:rsidRPr="000E5525">
              <w:rPr>
                <w:rFonts w:eastAsia="Times New Roman" w:cs="Times New Roman"/>
                <w:b/>
                <w:color w:val="000000"/>
                <w:sz w:val="20"/>
                <w:szCs w:val="20"/>
              </w:rPr>
              <w:t>1.5</w:t>
            </w:r>
          </w:p>
        </w:tc>
        <w:tc>
          <w:tcPr>
            <w:tcW w:w="672" w:type="dxa"/>
            <w:vMerge/>
            <w:tcBorders>
              <w:bottom w:val="single" w:sz="4" w:space="0" w:color="auto"/>
              <w:right w:val="single" w:sz="12" w:space="0" w:color="auto"/>
            </w:tcBorders>
            <w:shd w:val="clear" w:color="auto" w:fill="C6D9F1" w:themeFill="text2" w:themeFillTint="33"/>
            <w:vAlign w:val="center"/>
          </w:tcPr>
          <w:p w14:paraId="1CB6DCA5" w14:textId="77777777" w:rsidR="00ED1DBF" w:rsidRPr="00260248" w:rsidRDefault="00ED1DBF" w:rsidP="00D30DFD">
            <w:pPr>
              <w:spacing w:after="0" w:line="240" w:lineRule="auto"/>
              <w:rPr>
                <w:rFonts w:eastAsia="Times New Roman" w:cs="Times New Roman"/>
                <w:color w:val="000000"/>
                <w:sz w:val="20"/>
                <w:szCs w:val="20"/>
              </w:rPr>
            </w:pPr>
          </w:p>
        </w:tc>
        <w:tc>
          <w:tcPr>
            <w:tcW w:w="839" w:type="dxa"/>
            <w:tcBorders>
              <w:left w:val="single" w:sz="12" w:space="0" w:color="auto"/>
              <w:bottom w:val="single" w:sz="4" w:space="0" w:color="auto"/>
            </w:tcBorders>
            <w:shd w:val="clear" w:color="auto" w:fill="C6D9F1" w:themeFill="text2" w:themeFillTint="33"/>
            <w:noWrap/>
            <w:vAlign w:val="center"/>
          </w:tcPr>
          <w:p w14:paraId="2E3B6808"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1.0</w:t>
            </w:r>
          </w:p>
        </w:tc>
        <w:tc>
          <w:tcPr>
            <w:tcW w:w="320" w:type="dxa"/>
            <w:vMerge/>
            <w:tcBorders>
              <w:bottom w:val="single" w:sz="4" w:space="0" w:color="auto"/>
              <w:right w:val="single" w:sz="12" w:space="0" w:color="auto"/>
            </w:tcBorders>
            <w:shd w:val="clear" w:color="auto" w:fill="C6D9F1" w:themeFill="text2" w:themeFillTint="33"/>
            <w:vAlign w:val="center"/>
          </w:tcPr>
          <w:p w14:paraId="3812B653" w14:textId="77777777" w:rsidR="00ED1DBF" w:rsidRPr="00260248" w:rsidRDefault="00ED1DBF" w:rsidP="00D30DFD">
            <w:pPr>
              <w:spacing w:after="0" w:line="240" w:lineRule="auto"/>
              <w:rPr>
                <w:rFonts w:eastAsia="Times New Roman" w:cs="Times New Roman"/>
                <w:color w:val="000000"/>
                <w:sz w:val="20"/>
                <w:szCs w:val="20"/>
              </w:rPr>
            </w:pPr>
          </w:p>
        </w:tc>
        <w:tc>
          <w:tcPr>
            <w:tcW w:w="1275" w:type="dxa"/>
            <w:tcBorders>
              <w:left w:val="single" w:sz="12" w:space="0" w:color="auto"/>
              <w:bottom w:val="single" w:sz="4" w:space="0" w:color="auto"/>
            </w:tcBorders>
            <w:shd w:val="clear" w:color="auto" w:fill="C6D9F1" w:themeFill="text2" w:themeFillTint="33"/>
            <w:noWrap/>
            <w:vAlign w:val="center"/>
          </w:tcPr>
          <w:p w14:paraId="40E96991"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1.3</w:t>
            </w:r>
          </w:p>
        </w:tc>
        <w:tc>
          <w:tcPr>
            <w:tcW w:w="672" w:type="dxa"/>
            <w:vMerge/>
            <w:tcBorders>
              <w:bottom w:val="single" w:sz="4" w:space="0" w:color="auto"/>
              <w:right w:val="single" w:sz="12" w:space="0" w:color="auto"/>
            </w:tcBorders>
            <w:shd w:val="clear" w:color="auto" w:fill="C6D9F1" w:themeFill="text2" w:themeFillTint="33"/>
            <w:vAlign w:val="center"/>
          </w:tcPr>
          <w:p w14:paraId="5583AA3A" w14:textId="77777777" w:rsidR="00ED1DBF" w:rsidRPr="00260248" w:rsidRDefault="00ED1DBF" w:rsidP="00D30DFD">
            <w:pPr>
              <w:spacing w:after="0" w:line="240" w:lineRule="auto"/>
              <w:rPr>
                <w:rFonts w:eastAsia="Times New Roman" w:cs="Times New Roman"/>
                <w:color w:val="000000"/>
                <w:sz w:val="20"/>
                <w:szCs w:val="20"/>
              </w:rPr>
            </w:pPr>
          </w:p>
        </w:tc>
        <w:tc>
          <w:tcPr>
            <w:tcW w:w="902" w:type="dxa"/>
            <w:tcBorders>
              <w:left w:val="single" w:sz="12" w:space="0" w:color="auto"/>
              <w:bottom w:val="single" w:sz="4" w:space="0" w:color="auto"/>
            </w:tcBorders>
            <w:shd w:val="clear" w:color="auto" w:fill="C6D9F1" w:themeFill="text2" w:themeFillTint="33"/>
            <w:noWrap/>
            <w:vAlign w:val="center"/>
          </w:tcPr>
          <w:p w14:paraId="37266902" w14:textId="77777777" w:rsidR="00ED1DBF" w:rsidRPr="000E5525" w:rsidRDefault="00ED1DBF" w:rsidP="00D30DFD">
            <w:pPr>
              <w:spacing w:after="0" w:line="240" w:lineRule="auto"/>
              <w:jc w:val="center"/>
              <w:rPr>
                <w:rFonts w:eastAsia="Times New Roman" w:cs="Times New Roman"/>
                <w:b/>
                <w:bCs/>
                <w:color w:val="000000"/>
                <w:sz w:val="20"/>
                <w:szCs w:val="20"/>
              </w:rPr>
            </w:pPr>
            <w:r w:rsidRPr="000E5525">
              <w:rPr>
                <w:rFonts w:eastAsia="Times New Roman" w:cs="Times New Roman"/>
                <w:b/>
                <w:bCs/>
                <w:color w:val="000000"/>
                <w:sz w:val="20"/>
                <w:szCs w:val="20"/>
              </w:rPr>
              <w:t>0.6</w:t>
            </w:r>
          </w:p>
        </w:tc>
        <w:tc>
          <w:tcPr>
            <w:tcW w:w="666" w:type="dxa"/>
            <w:vMerge/>
            <w:tcBorders>
              <w:bottom w:val="single" w:sz="4" w:space="0" w:color="auto"/>
              <w:right w:val="single" w:sz="12" w:space="0" w:color="auto"/>
            </w:tcBorders>
            <w:shd w:val="clear" w:color="auto" w:fill="C6D9F1" w:themeFill="text2" w:themeFillTint="33"/>
            <w:vAlign w:val="center"/>
          </w:tcPr>
          <w:p w14:paraId="579747D1" w14:textId="77777777" w:rsidR="00ED1DBF" w:rsidRPr="000E5525" w:rsidRDefault="00ED1DBF" w:rsidP="00D30DFD">
            <w:pPr>
              <w:spacing w:after="0" w:line="240" w:lineRule="auto"/>
              <w:rPr>
                <w:rFonts w:eastAsia="Times New Roman" w:cs="Times New Roman"/>
                <w:b/>
                <w:bCs/>
                <w:color w:val="000000"/>
                <w:sz w:val="20"/>
                <w:szCs w:val="20"/>
              </w:rPr>
            </w:pPr>
          </w:p>
        </w:tc>
      </w:tr>
      <w:tr w:rsidR="00ED1DBF" w:rsidRPr="00260248" w14:paraId="6F8880CE" w14:textId="77777777" w:rsidTr="00D30DFD">
        <w:trPr>
          <w:trHeight w:val="300"/>
        </w:trPr>
        <w:tc>
          <w:tcPr>
            <w:tcW w:w="1573" w:type="dxa"/>
            <w:vMerge w:val="restart"/>
            <w:tcBorders>
              <w:top w:val="single" w:sz="4" w:space="0" w:color="auto"/>
              <w:left w:val="single" w:sz="12" w:space="0" w:color="auto"/>
            </w:tcBorders>
            <w:shd w:val="clear" w:color="auto" w:fill="auto"/>
            <w:vAlign w:val="center"/>
            <w:hideMark/>
          </w:tcPr>
          <w:p w14:paraId="7AD7402F" w14:textId="77777777" w:rsidR="00ED1DBF" w:rsidRPr="00260248" w:rsidRDefault="00ED1DBF" w:rsidP="00D30DFD">
            <w:pPr>
              <w:spacing w:after="0" w:line="240" w:lineRule="auto"/>
              <w:jc w:val="left"/>
              <w:rPr>
                <w:rFonts w:eastAsia="Times New Roman" w:cs="Times New Roman"/>
                <w:b/>
                <w:bCs/>
                <w:color w:val="000000"/>
                <w:sz w:val="20"/>
                <w:szCs w:val="20"/>
              </w:rPr>
            </w:pPr>
            <w:r>
              <w:rPr>
                <w:rFonts w:eastAsia="Times New Roman" w:cs="Times New Roman"/>
                <w:b/>
                <w:bCs/>
                <w:color w:val="000000"/>
                <w:sz w:val="20"/>
                <w:szCs w:val="20"/>
              </w:rPr>
              <w:t>VAS Left Arm</w:t>
            </w:r>
          </w:p>
        </w:tc>
        <w:tc>
          <w:tcPr>
            <w:tcW w:w="361" w:type="dxa"/>
            <w:tcBorders>
              <w:top w:val="single" w:sz="4" w:space="0" w:color="auto"/>
              <w:right w:val="single" w:sz="12" w:space="0" w:color="auto"/>
            </w:tcBorders>
            <w:shd w:val="clear" w:color="auto" w:fill="auto"/>
            <w:noWrap/>
            <w:vAlign w:val="bottom"/>
            <w:hideMark/>
          </w:tcPr>
          <w:p w14:paraId="2EC6534C" w14:textId="77777777" w:rsidR="00ED1DBF" w:rsidRPr="00260248" w:rsidRDefault="00ED1DBF" w:rsidP="00D30DFD">
            <w:pPr>
              <w:spacing w:after="0" w:line="240" w:lineRule="auto"/>
              <w:jc w:val="center"/>
              <w:rPr>
                <w:rFonts w:eastAsia="Times New Roman" w:cs="Times New Roman"/>
                <w:b/>
                <w:bCs/>
                <w:color w:val="000000"/>
                <w:sz w:val="20"/>
                <w:szCs w:val="20"/>
              </w:rPr>
            </w:pPr>
            <w:r w:rsidRPr="00260248">
              <w:rPr>
                <w:rFonts w:eastAsia="Times New Roman" w:cs="Times New Roman"/>
                <w:b/>
                <w:bCs/>
                <w:color w:val="000000"/>
                <w:sz w:val="20"/>
                <w:szCs w:val="20"/>
              </w:rPr>
              <w:t>C</w:t>
            </w:r>
          </w:p>
        </w:tc>
        <w:tc>
          <w:tcPr>
            <w:tcW w:w="839" w:type="dxa"/>
            <w:tcBorders>
              <w:top w:val="single" w:sz="4" w:space="0" w:color="auto"/>
              <w:left w:val="single" w:sz="12" w:space="0" w:color="auto"/>
            </w:tcBorders>
            <w:shd w:val="clear" w:color="auto" w:fill="auto"/>
            <w:noWrap/>
            <w:vAlign w:val="bottom"/>
          </w:tcPr>
          <w:p w14:paraId="097646C8"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3.4</w:t>
            </w:r>
          </w:p>
        </w:tc>
        <w:tc>
          <w:tcPr>
            <w:tcW w:w="672" w:type="dxa"/>
            <w:vMerge w:val="restart"/>
            <w:tcBorders>
              <w:top w:val="single" w:sz="4" w:space="0" w:color="auto"/>
              <w:right w:val="single" w:sz="12" w:space="0" w:color="auto"/>
            </w:tcBorders>
            <w:shd w:val="clear" w:color="auto" w:fill="auto"/>
            <w:noWrap/>
            <w:vAlign w:val="center"/>
          </w:tcPr>
          <w:p w14:paraId="198614AA"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0.2</w:t>
            </w:r>
          </w:p>
        </w:tc>
        <w:tc>
          <w:tcPr>
            <w:tcW w:w="839" w:type="dxa"/>
            <w:tcBorders>
              <w:top w:val="single" w:sz="4" w:space="0" w:color="auto"/>
              <w:left w:val="single" w:sz="12" w:space="0" w:color="auto"/>
            </w:tcBorders>
            <w:shd w:val="clear" w:color="auto" w:fill="auto"/>
            <w:noWrap/>
            <w:vAlign w:val="center"/>
          </w:tcPr>
          <w:p w14:paraId="47D38577" w14:textId="77777777" w:rsidR="00ED1DBF" w:rsidRPr="000E5525" w:rsidRDefault="00ED1DBF" w:rsidP="00D30DFD">
            <w:pPr>
              <w:spacing w:after="0" w:line="240" w:lineRule="auto"/>
              <w:jc w:val="center"/>
              <w:rPr>
                <w:rFonts w:eastAsia="Times New Roman" w:cs="Times New Roman"/>
                <w:b/>
                <w:color w:val="000000"/>
                <w:sz w:val="20"/>
                <w:szCs w:val="20"/>
              </w:rPr>
            </w:pPr>
            <w:r w:rsidRPr="000E5525">
              <w:rPr>
                <w:rFonts w:eastAsia="Times New Roman" w:cs="Times New Roman"/>
                <w:b/>
                <w:color w:val="000000"/>
                <w:sz w:val="20"/>
                <w:szCs w:val="20"/>
              </w:rPr>
              <w:t>2.8</w:t>
            </w:r>
          </w:p>
        </w:tc>
        <w:tc>
          <w:tcPr>
            <w:tcW w:w="320" w:type="dxa"/>
            <w:vMerge w:val="restart"/>
            <w:tcBorders>
              <w:top w:val="single" w:sz="4" w:space="0" w:color="auto"/>
              <w:right w:val="single" w:sz="12" w:space="0" w:color="auto"/>
            </w:tcBorders>
            <w:shd w:val="clear" w:color="auto" w:fill="auto"/>
            <w:noWrap/>
            <w:vAlign w:val="center"/>
          </w:tcPr>
          <w:p w14:paraId="18B3F98E" w14:textId="77777777" w:rsidR="00ED1DBF" w:rsidRPr="000E5525" w:rsidRDefault="00ED1DBF" w:rsidP="00D30DFD">
            <w:pPr>
              <w:spacing w:after="0" w:line="240" w:lineRule="auto"/>
              <w:jc w:val="center"/>
              <w:rPr>
                <w:rFonts w:eastAsia="Times New Roman" w:cs="Times New Roman"/>
                <w:b/>
                <w:color w:val="000000"/>
                <w:sz w:val="20"/>
                <w:szCs w:val="20"/>
              </w:rPr>
            </w:pPr>
            <w:r w:rsidRPr="000E5525">
              <w:rPr>
                <w:rFonts w:eastAsia="Times New Roman" w:cs="Times New Roman"/>
                <w:b/>
                <w:color w:val="000000"/>
                <w:sz w:val="20"/>
                <w:szCs w:val="20"/>
              </w:rPr>
              <w:t>0.08</w:t>
            </w:r>
          </w:p>
        </w:tc>
        <w:tc>
          <w:tcPr>
            <w:tcW w:w="1275" w:type="dxa"/>
            <w:tcBorders>
              <w:top w:val="single" w:sz="4" w:space="0" w:color="auto"/>
              <w:left w:val="single" w:sz="12" w:space="0" w:color="auto"/>
            </w:tcBorders>
            <w:shd w:val="clear" w:color="auto" w:fill="auto"/>
            <w:noWrap/>
            <w:vAlign w:val="center"/>
          </w:tcPr>
          <w:p w14:paraId="4B796F76"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2.1</w:t>
            </w:r>
          </w:p>
        </w:tc>
        <w:tc>
          <w:tcPr>
            <w:tcW w:w="672" w:type="dxa"/>
            <w:vMerge w:val="restart"/>
            <w:tcBorders>
              <w:top w:val="single" w:sz="4" w:space="0" w:color="auto"/>
              <w:right w:val="single" w:sz="12" w:space="0" w:color="auto"/>
            </w:tcBorders>
            <w:shd w:val="clear" w:color="auto" w:fill="auto"/>
            <w:vAlign w:val="center"/>
          </w:tcPr>
          <w:p w14:paraId="0CB5E886"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0.2</w:t>
            </w:r>
          </w:p>
        </w:tc>
        <w:tc>
          <w:tcPr>
            <w:tcW w:w="902" w:type="dxa"/>
            <w:tcBorders>
              <w:top w:val="single" w:sz="4" w:space="0" w:color="auto"/>
              <w:left w:val="single" w:sz="12" w:space="0" w:color="auto"/>
            </w:tcBorders>
            <w:shd w:val="clear" w:color="auto" w:fill="auto"/>
            <w:noWrap/>
            <w:vAlign w:val="center"/>
          </w:tcPr>
          <w:p w14:paraId="39A60A50" w14:textId="77777777" w:rsidR="00ED1DBF" w:rsidRPr="000E5525" w:rsidRDefault="00ED1DBF" w:rsidP="00D30DFD">
            <w:pPr>
              <w:spacing w:after="0" w:line="240" w:lineRule="auto"/>
              <w:jc w:val="center"/>
              <w:rPr>
                <w:rFonts w:eastAsia="Times New Roman" w:cs="Times New Roman"/>
                <w:bCs/>
                <w:color w:val="000000"/>
                <w:sz w:val="20"/>
                <w:szCs w:val="20"/>
              </w:rPr>
            </w:pPr>
            <w:r w:rsidRPr="000E5525">
              <w:rPr>
                <w:rFonts w:eastAsia="Times New Roman" w:cs="Times New Roman"/>
                <w:bCs/>
                <w:color w:val="000000"/>
                <w:sz w:val="20"/>
                <w:szCs w:val="20"/>
              </w:rPr>
              <w:t>2.3</w:t>
            </w:r>
          </w:p>
        </w:tc>
        <w:tc>
          <w:tcPr>
            <w:tcW w:w="666" w:type="dxa"/>
            <w:vMerge w:val="restart"/>
            <w:tcBorders>
              <w:top w:val="single" w:sz="4" w:space="0" w:color="auto"/>
              <w:right w:val="single" w:sz="12" w:space="0" w:color="auto"/>
            </w:tcBorders>
            <w:shd w:val="clear" w:color="auto" w:fill="auto"/>
            <w:noWrap/>
            <w:vAlign w:val="center"/>
          </w:tcPr>
          <w:p w14:paraId="31E66A4B" w14:textId="77777777" w:rsidR="00ED1DBF" w:rsidRPr="000E5525" w:rsidRDefault="00ED1DBF" w:rsidP="00D30DFD">
            <w:pPr>
              <w:spacing w:after="0" w:line="240" w:lineRule="auto"/>
              <w:jc w:val="center"/>
              <w:rPr>
                <w:rFonts w:eastAsia="Times New Roman" w:cs="Times New Roman"/>
                <w:bCs/>
                <w:color w:val="000000"/>
                <w:sz w:val="20"/>
                <w:szCs w:val="20"/>
              </w:rPr>
            </w:pPr>
            <w:r w:rsidRPr="000E5525">
              <w:rPr>
                <w:rFonts w:eastAsia="Times New Roman" w:cs="Times New Roman"/>
                <w:bCs/>
                <w:color w:val="000000"/>
                <w:sz w:val="20"/>
                <w:szCs w:val="20"/>
              </w:rPr>
              <w:t>0.2</w:t>
            </w:r>
          </w:p>
        </w:tc>
      </w:tr>
      <w:tr w:rsidR="00ED1DBF" w:rsidRPr="00260248" w14:paraId="333CBB0E" w14:textId="77777777" w:rsidTr="00D30DFD">
        <w:trPr>
          <w:trHeight w:val="300"/>
        </w:trPr>
        <w:tc>
          <w:tcPr>
            <w:tcW w:w="1573" w:type="dxa"/>
            <w:vMerge/>
            <w:tcBorders>
              <w:left w:val="single" w:sz="12" w:space="0" w:color="auto"/>
              <w:bottom w:val="single" w:sz="12" w:space="0" w:color="auto"/>
            </w:tcBorders>
            <w:vAlign w:val="center"/>
            <w:hideMark/>
          </w:tcPr>
          <w:p w14:paraId="62C25C90" w14:textId="77777777" w:rsidR="00ED1DBF" w:rsidRPr="00260248" w:rsidRDefault="00ED1DBF" w:rsidP="00D30DFD">
            <w:pPr>
              <w:spacing w:after="0" w:line="240" w:lineRule="auto"/>
              <w:rPr>
                <w:rFonts w:eastAsia="Times New Roman" w:cs="Times New Roman"/>
                <w:b/>
                <w:bCs/>
                <w:color w:val="000000"/>
                <w:sz w:val="20"/>
                <w:szCs w:val="20"/>
              </w:rPr>
            </w:pPr>
          </w:p>
        </w:tc>
        <w:tc>
          <w:tcPr>
            <w:tcW w:w="361" w:type="dxa"/>
            <w:tcBorders>
              <w:bottom w:val="single" w:sz="12" w:space="0" w:color="auto"/>
              <w:right w:val="single" w:sz="12" w:space="0" w:color="auto"/>
            </w:tcBorders>
            <w:shd w:val="clear" w:color="auto" w:fill="auto"/>
            <w:noWrap/>
            <w:vAlign w:val="bottom"/>
            <w:hideMark/>
          </w:tcPr>
          <w:p w14:paraId="5565F8B9" w14:textId="77777777" w:rsidR="00ED1DBF" w:rsidRPr="00260248" w:rsidRDefault="00ED1DBF" w:rsidP="00D30DFD">
            <w:pPr>
              <w:spacing w:after="0" w:line="240" w:lineRule="auto"/>
              <w:jc w:val="center"/>
              <w:rPr>
                <w:rFonts w:eastAsia="Times New Roman" w:cs="Times New Roman"/>
                <w:b/>
                <w:bCs/>
                <w:color w:val="000000"/>
                <w:sz w:val="20"/>
                <w:szCs w:val="20"/>
              </w:rPr>
            </w:pPr>
            <w:r w:rsidRPr="00260248">
              <w:rPr>
                <w:rFonts w:eastAsia="Times New Roman" w:cs="Times New Roman"/>
                <w:b/>
                <w:bCs/>
                <w:color w:val="000000"/>
                <w:sz w:val="20"/>
                <w:szCs w:val="20"/>
              </w:rPr>
              <w:t>S</w:t>
            </w:r>
          </w:p>
        </w:tc>
        <w:tc>
          <w:tcPr>
            <w:tcW w:w="839" w:type="dxa"/>
            <w:tcBorders>
              <w:left w:val="single" w:sz="12" w:space="0" w:color="auto"/>
              <w:bottom w:val="single" w:sz="12" w:space="0" w:color="auto"/>
            </w:tcBorders>
            <w:shd w:val="clear" w:color="auto" w:fill="auto"/>
            <w:noWrap/>
            <w:vAlign w:val="bottom"/>
          </w:tcPr>
          <w:p w14:paraId="4403A713"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2.4</w:t>
            </w:r>
          </w:p>
        </w:tc>
        <w:tc>
          <w:tcPr>
            <w:tcW w:w="672" w:type="dxa"/>
            <w:vMerge/>
            <w:tcBorders>
              <w:bottom w:val="single" w:sz="12" w:space="0" w:color="auto"/>
              <w:right w:val="single" w:sz="12" w:space="0" w:color="auto"/>
            </w:tcBorders>
            <w:vAlign w:val="center"/>
          </w:tcPr>
          <w:p w14:paraId="5B2D63E2" w14:textId="77777777" w:rsidR="00ED1DBF" w:rsidRPr="00260248" w:rsidRDefault="00ED1DBF" w:rsidP="00D30DFD">
            <w:pPr>
              <w:spacing w:after="0" w:line="240" w:lineRule="auto"/>
              <w:rPr>
                <w:rFonts w:eastAsia="Times New Roman" w:cs="Times New Roman"/>
                <w:color w:val="000000"/>
                <w:sz w:val="20"/>
                <w:szCs w:val="20"/>
              </w:rPr>
            </w:pPr>
          </w:p>
        </w:tc>
        <w:tc>
          <w:tcPr>
            <w:tcW w:w="839" w:type="dxa"/>
            <w:tcBorders>
              <w:left w:val="single" w:sz="12" w:space="0" w:color="auto"/>
              <w:bottom w:val="single" w:sz="12" w:space="0" w:color="auto"/>
            </w:tcBorders>
            <w:shd w:val="clear" w:color="auto" w:fill="auto"/>
            <w:noWrap/>
            <w:vAlign w:val="center"/>
          </w:tcPr>
          <w:p w14:paraId="775DC916" w14:textId="77777777" w:rsidR="00ED1DBF" w:rsidRPr="000E5525" w:rsidRDefault="00ED1DBF" w:rsidP="00D30DFD">
            <w:pPr>
              <w:spacing w:after="0" w:line="240" w:lineRule="auto"/>
              <w:jc w:val="center"/>
              <w:rPr>
                <w:rFonts w:eastAsia="Times New Roman" w:cs="Times New Roman"/>
                <w:b/>
                <w:color w:val="000000"/>
                <w:sz w:val="20"/>
                <w:szCs w:val="20"/>
              </w:rPr>
            </w:pPr>
            <w:r w:rsidRPr="000E5525">
              <w:rPr>
                <w:rFonts w:eastAsia="Times New Roman" w:cs="Times New Roman"/>
                <w:b/>
                <w:color w:val="000000"/>
                <w:sz w:val="20"/>
                <w:szCs w:val="20"/>
              </w:rPr>
              <w:t>0.9</w:t>
            </w:r>
          </w:p>
        </w:tc>
        <w:tc>
          <w:tcPr>
            <w:tcW w:w="320" w:type="dxa"/>
            <w:vMerge/>
            <w:tcBorders>
              <w:bottom w:val="single" w:sz="12" w:space="0" w:color="auto"/>
              <w:right w:val="single" w:sz="12" w:space="0" w:color="auto"/>
            </w:tcBorders>
            <w:vAlign w:val="center"/>
          </w:tcPr>
          <w:p w14:paraId="63F85816" w14:textId="77777777" w:rsidR="00ED1DBF" w:rsidRPr="00260248" w:rsidRDefault="00ED1DBF" w:rsidP="00D30DFD">
            <w:pPr>
              <w:spacing w:after="0" w:line="240" w:lineRule="auto"/>
              <w:rPr>
                <w:rFonts w:eastAsia="Times New Roman" w:cs="Times New Roman"/>
                <w:color w:val="000000"/>
                <w:sz w:val="20"/>
                <w:szCs w:val="20"/>
              </w:rPr>
            </w:pPr>
          </w:p>
        </w:tc>
        <w:tc>
          <w:tcPr>
            <w:tcW w:w="1275" w:type="dxa"/>
            <w:tcBorders>
              <w:left w:val="single" w:sz="12" w:space="0" w:color="auto"/>
              <w:bottom w:val="single" w:sz="12" w:space="0" w:color="auto"/>
            </w:tcBorders>
            <w:shd w:val="clear" w:color="auto" w:fill="auto"/>
            <w:noWrap/>
            <w:vAlign w:val="center"/>
          </w:tcPr>
          <w:p w14:paraId="49583103" w14:textId="77777777" w:rsidR="00ED1DBF" w:rsidRPr="00260248" w:rsidRDefault="00ED1DBF" w:rsidP="00D30DF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1.3</w:t>
            </w:r>
          </w:p>
        </w:tc>
        <w:tc>
          <w:tcPr>
            <w:tcW w:w="672" w:type="dxa"/>
            <w:vMerge/>
            <w:tcBorders>
              <w:bottom w:val="single" w:sz="12" w:space="0" w:color="auto"/>
              <w:right w:val="single" w:sz="12" w:space="0" w:color="auto"/>
            </w:tcBorders>
            <w:vAlign w:val="center"/>
          </w:tcPr>
          <w:p w14:paraId="575D24F1" w14:textId="77777777" w:rsidR="00ED1DBF" w:rsidRPr="00260248" w:rsidRDefault="00ED1DBF" w:rsidP="00D30DFD">
            <w:pPr>
              <w:spacing w:after="0" w:line="240" w:lineRule="auto"/>
              <w:rPr>
                <w:rFonts w:eastAsia="Times New Roman" w:cs="Times New Roman"/>
                <w:color w:val="000000"/>
                <w:sz w:val="20"/>
                <w:szCs w:val="20"/>
              </w:rPr>
            </w:pPr>
          </w:p>
        </w:tc>
        <w:tc>
          <w:tcPr>
            <w:tcW w:w="902" w:type="dxa"/>
            <w:tcBorders>
              <w:left w:val="single" w:sz="12" w:space="0" w:color="auto"/>
              <w:bottom w:val="single" w:sz="12" w:space="0" w:color="auto"/>
            </w:tcBorders>
            <w:shd w:val="clear" w:color="auto" w:fill="auto"/>
            <w:noWrap/>
            <w:vAlign w:val="center"/>
          </w:tcPr>
          <w:p w14:paraId="2B5F1E20" w14:textId="77777777" w:rsidR="00ED1DBF" w:rsidRPr="000E5525" w:rsidRDefault="00ED1DBF" w:rsidP="00D30DFD">
            <w:pPr>
              <w:spacing w:after="0" w:line="240" w:lineRule="auto"/>
              <w:jc w:val="center"/>
              <w:rPr>
                <w:rFonts w:eastAsia="Times New Roman" w:cs="Times New Roman"/>
                <w:bCs/>
                <w:color w:val="000000"/>
                <w:sz w:val="20"/>
                <w:szCs w:val="20"/>
              </w:rPr>
            </w:pPr>
            <w:r w:rsidRPr="000E5525">
              <w:rPr>
                <w:rFonts w:eastAsia="Times New Roman" w:cs="Times New Roman"/>
                <w:bCs/>
                <w:color w:val="000000"/>
                <w:sz w:val="20"/>
                <w:szCs w:val="20"/>
              </w:rPr>
              <w:t>1.3</w:t>
            </w:r>
          </w:p>
        </w:tc>
        <w:tc>
          <w:tcPr>
            <w:tcW w:w="666" w:type="dxa"/>
            <w:vMerge/>
            <w:tcBorders>
              <w:bottom w:val="single" w:sz="12" w:space="0" w:color="auto"/>
              <w:right w:val="single" w:sz="12" w:space="0" w:color="auto"/>
            </w:tcBorders>
            <w:vAlign w:val="center"/>
            <w:hideMark/>
          </w:tcPr>
          <w:p w14:paraId="7B136CAA" w14:textId="77777777" w:rsidR="00ED1DBF" w:rsidRPr="00260248" w:rsidRDefault="00ED1DBF" w:rsidP="00D30DFD">
            <w:pPr>
              <w:spacing w:after="0" w:line="240" w:lineRule="auto"/>
              <w:rPr>
                <w:rFonts w:eastAsia="Times New Roman" w:cs="Times New Roman"/>
                <w:b/>
                <w:bCs/>
                <w:color w:val="000000"/>
                <w:sz w:val="20"/>
                <w:szCs w:val="20"/>
              </w:rPr>
            </w:pPr>
          </w:p>
        </w:tc>
      </w:tr>
    </w:tbl>
    <w:p w14:paraId="3BE0E752" w14:textId="77777777" w:rsidR="00ED1DBF" w:rsidRDefault="00ED1DBF" w:rsidP="00ED1DBF"/>
    <w:p w14:paraId="3E170975" w14:textId="77777777" w:rsidR="00ED1DBF" w:rsidRPr="006075AC" w:rsidRDefault="00ED1DBF" w:rsidP="00ED1DBF">
      <w:pPr>
        <w:pStyle w:val="Heading3"/>
      </w:pPr>
      <w:r w:rsidRPr="006075AC">
        <w:t>Steroid Related Post-operative complications</w:t>
      </w:r>
    </w:p>
    <w:p w14:paraId="14D2B116" w14:textId="232A31E5" w:rsidR="00ED1DBF" w:rsidRPr="00A24D3F" w:rsidRDefault="00ED1DBF" w:rsidP="00ED1DBF">
      <w:pPr>
        <w:rPr>
          <w:rFonts w:eastAsia="Times New Roman" w:cs="Times New Roman"/>
          <w:color w:val="222222"/>
        </w:rPr>
      </w:pPr>
      <w:r w:rsidRPr="00A24D3F">
        <w:t xml:space="preserve">A Fisher exact test was conducted to compare the occurrence of documented complications in the post-operative period for both groups. </w:t>
      </w:r>
      <w:r w:rsidRPr="00A24D3F">
        <w:rPr>
          <w:rFonts w:eastAsia="Times New Roman" w:cs="Times New Roman"/>
          <w:color w:val="222222"/>
        </w:rPr>
        <w:t>No significant difference was found for leukocytosis, hyperglycemia,</w:t>
      </w:r>
      <w:r w:rsidR="00920361">
        <w:rPr>
          <w:rFonts w:eastAsia="Times New Roman" w:cs="Times New Roman"/>
          <w:color w:val="222222"/>
        </w:rPr>
        <w:t xml:space="preserve"> </w:t>
      </w:r>
      <w:r w:rsidRPr="00A24D3F">
        <w:rPr>
          <w:rFonts w:eastAsia="Times New Roman" w:cs="Times New Roman"/>
          <w:color w:val="222222"/>
        </w:rPr>
        <w:t xml:space="preserve">blood loss </w:t>
      </w:r>
      <w:r w:rsidR="00920361">
        <w:rPr>
          <w:rFonts w:eastAsia="Times New Roman" w:cs="Times New Roman"/>
          <w:color w:val="222222"/>
        </w:rPr>
        <w:t xml:space="preserve">or </w:t>
      </w:r>
      <w:r w:rsidRPr="00A24D3F">
        <w:rPr>
          <w:rFonts w:eastAsia="Times New Roman" w:cs="Times New Roman"/>
          <w:color w:val="222222"/>
        </w:rPr>
        <w:t>anemia in the early post-operative period.</w:t>
      </w:r>
    </w:p>
    <w:p w14:paraId="71E05BD3" w14:textId="24C8E9DF" w:rsidR="00ED1DBF" w:rsidRDefault="00ED1DBF" w:rsidP="00915145">
      <w:pPr>
        <w:spacing w:after="0" w:line="276" w:lineRule="auto"/>
        <w:ind w:left="360"/>
        <w:rPr>
          <w:rFonts w:ascii="Times New Roman" w:eastAsia="Times New Roman" w:hAnsi="Times New Roman" w:cs="Times New Roman"/>
          <w:color w:val="222222"/>
        </w:rPr>
      </w:pPr>
      <w:proofErr w:type="gramStart"/>
      <w:r w:rsidRPr="001342CE">
        <w:rPr>
          <w:rFonts w:eastAsia="Times New Roman" w:cs="Times New Roman"/>
          <w:b/>
          <w:bCs/>
          <w:color w:val="000000"/>
          <w:sz w:val="20"/>
          <w:szCs w:val="20"/>
        </w:rPr>
        <w:t xml:space="preserve">Table </w:t>
      </w:r>
      <w:r>
        <w:rPr>
          <w:rFonts w:eastAsia="Times New Roman" w:cs="Times New Roman"/>
          <w:b/>
          <w:bCs/>
          <w:color w:val="000000"/>
          <w:sz w:val="20"/>
          <w:szCs w:val="20"/>
        </w:rPr>
        <w:t>8</w:t>
      </w:r>
      <w:r w:rsidRPr="001342CE">
        <w:rPr>
          <w:rFonts w:eastAsia="Times New Roman" w:cs="Times New Roman"/>
          <w:b/>
          <w:bCs/>
          <w:color w:val="000000"/>
          <w:sz w:val="20"/>
          <w:szCs w:val="20"/>
        </w:rPr>
        <w:t xml:space="preserve">: </w:t>
      </w:r>
      <w:r>
        <w:rPr>
          <w:rFonts w:eastAsia="Times New Roman" w:cs="Times New Roman"/>
          <w:b/>
          <w:bCs/>
          <w:color w:val="000000"/>
          <w:sz w:val="20"/>
          <w:szCs w:val="20"/>
        </w:rPr>
        <w:t>Comparison of Steroid</w:t>
      </w:r>
      <w:r w:rsidR="009C1544">
        <w:rPr>
          <w:rFonts w:eastAsia="Times New Roman" w:cs="Times New Roman"/>
          <w:b/>
          <w:bCs/>
          <w:color w:val="000000"/>
          <w:sz w:val="20"/>
          <w:szCs w:val="20"/>
        </w:rPr>
        <w:t>-</w:t>
      </w:r>
      <w:r>
        <w:rPr>
          <w:rFonts w:eastAsia="Times New Roman" w:cs="Times New Roman"/>
          <w:b/>
          <w:bCs/>
          <w:color w:val="000000"/>
          <w:sz w:val="20"/>
          <w:szCs w:val="20"/>
        </w:rPr>
        <w:t>Related Complications</w:t>
      </w:r>
      <w:r w:rsidR="00200D74">
        <w:rPr>
          <w:rFonts w:eastAsia="Times New Roman" w:cs="Times New Roman"/>
          <w:b/>
          <w:bCs/>
          <w:color w:val="000000"/>
          <w:sz w:val="20"/>
          <w:szCs w:val="20"/>
        </w:rPr>
        <w:t xml:space="preserve"> between the Steroid and the Control arms.</w:t>
      </w:r>
      <w:proofErr w:type="gramEnd"/>
    </w:p>
    <w:tbl>
      <w:tblPr>
        <w:tblStyle w:val="LightGrid"/>
        <w:tblW w:w="8204" w:type="dxa"/>
        <w:tblInd w:w="468" w:type="dxa"/>
        <w:tblLook w:val="06A0" w:firstRow="1" w:lastRow="0" w:firstColumn="1" w:lastColumn="0" w:noHBand="1" w:noVBand="1"/>
      </w:tblPr>
      <w:tblGrid>
        <w:gridCol w:w="5436"/>
        <w:gridCol w:w="934"/>
        <w:gridCol w:w="961"/>
        <w:gridCol w:w="873"/>
      </w:tblGrid>
      <w:tr w:rsidR="00ED1DBF" w:rsidRPr="00F17545" w14:paraId="70EAC41E" w14:textId="77777777" w:rsidTr="00D30D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6" w:type="dxa"/>
          </w:tcPr>
          <w:p w14:paraId="472FAEC1" w14:textId="77777777" w:rsidR="00ED1DBF" w:rsidRPr="00F17545" w:rsidRDefault="00ED1DBF" w:rsidP="00915145">
            <w:pPr>
              <w:spacing w:line="360" w:lineRule="auto"/>
              <w:jc w:val="left"/>
              <w:rPr>
                <w:rFonts w:ascii="Calibri" w:hAnsi="Calibri"/>
                <w:sz w:val="20"/>
                <w:szCs w:val="20"/>
              </w:rPr>
            </w:pPr>
          </w:p>
        </w:tc>
        <w:tc>
          <w:tcPr>
            <w:tcW w:w="934" w:type="dxa"/>
          </w:tcPr>
          <w:p w14:paraId="0B4FFAC2" w14:textId="77777777" w:rsidR="00ED1DBF" w:rsidRPr="00F17545" w:rsidRDefault="00ED1DBF" w:rsidP="00915145">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Control</w:t>
            </w:r>
          </w:p>
        </w:tc>
        <w:tc>
          <w:tcPr>
            <w:tcW w:w="961" w:type="dxa"/>
          </w:tcPr>
          <w:p w14:paraId="16539362" w14:textId="77777777" w:rsidR="00ED1DBF" w:rsidRPr="00F17545" w:rsidRDefault="00ED1DBF" w:rsidP="00915145">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 xml:space="preserve">Steroid </w:t>
            </w:r>
          </w:p>
        </w:tc>
        <w:tc>
          <w:tcPr>
            <w:tcW w:w="873" w:type="dxa"/>
          </w:tcPr>
          <w:p w14:paraId="1F49E534" w14:textId="77777777" w:rsidR="00ED1DBF" w:rsidRPr="00F17545" w:rsidRDefault="00ED1DBF" w:rsidP="00915145">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F17545">
              <w:rPr>
                <w:rFonts w:ascii="Calibri" w:hAnsi="Calibri"/>
                <w:sz w:val="20"/>
                <w:szCs w:val="20"/>
              </w:rPr>
              <w:t>P</w:t>
            </w:r>
          </w:p>
        </w:tc>
      </w:tr>
      <w:tr w:rsidR="00ED1DBF" w:rsidRPr="00F17545" w14:paraId="17867635" w14:textId="77777777" w:rsidTr="00D30DFD">
        <w:tc>
          <w:tcPr>
            <w:cnfStyle w:val="001000000000" w:firstRow="0" w:lastRow="0" w:firstColumn="1" w:lastColumn="0" w:oddVBand="0" w:evenVBand="0" w:oddHBand="0" w:evenHBand="0" w:firstRowFirstColumn="0" w:firstRowLastColumn="0" w:lastRowFirstColumn="0" w:lastRowLastColumn="0"/>
            <w:tcW w:w="5436" w:type="dxa"/>
            <w:shd w:val="clear" w:color="auto" w:fill="auto"/>
          </w:tcPr>
          <w:p w14:paraId="7972B6FE" w14:textId="77777777" w:rsidR="00ED1DBF" w:rsidRPr="00F17545" w:rsidRDefault="00ED1DBF" w:rsidP="00915145">
            <w:pPr>
              <w:spacing w:line="360" w:lineRule="auto"/>
              <w:rPr>
                <w:rFonts w:ascii="Calibri" w:hAnsi="Calibri"/>
                <w:sz w:val="20"/>
                <w:szCs w:val="20"/>
              </w:rPr>
            </w:pPr>
            <w:r>
              <w:rPr>
                <w:rFonts w:ascii="Calibri" w:hAnsi="Calibri"/>
                <w:sz w:val="20"/>
                <w:szCs w:val="20"/>
              </w:rPr>
              <w:t>ABLA</w:t>
            </w:r>
          </w:p>
        </w:tc>
        <w:tc>
          <w:tcPr>
            <w:tcW w:w="934" w:type="dxa"/>
            <w:shd w:val="clear" w:color="auto" w:fill="auto"/>
          </w:tcPr>
          <w:p w14:paraId="40E33778" w14:textId="77777777" w:rsidR="00ED1DBF" w:rsidRPr="00F17545" w:rsidRDefault="00ED1DBF" w:rsidP="0091514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9</w:t>
            </w:r>
          </w:p>
        </w:tc>
        <w:tc>
          <w:tcPr>
            <w:tcW w:w="961" w:type="dxa"/>
            <w:shd w:val="clear" w:color="auto" w:fill="auto"/>
          </w:tcPr>
          <w:p w14:paraId="67D3C08C" w14:textId="77777777" w:rsidR="00ED1DBF" w:rsidRPr="00F17545" w:rsidRDefault="00ED1DBF" w:rsidP="0091514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8</w:t>
            </w:r>
          </w:p>
        </w:tc>
        <w:tc>
          <w:tcPr>
            <w:tcW w:w="873" w:type="dxa"/>
            <w:shd w:val="clear" w:color="auto" w:fill="auto"/>
          </w:tcPr>
          <w:p w14:paraId="418E9F6A" w14:textId="77777777" w:rsidR="00ED1DBF" w:rsidRPr="003B2744" w:rsidRDefault="00ED1DBF" w:rsidP="00915145">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0.7779</w:t>
            </w:r>
          </w:p>
        </w:tc>
      </w:tr>
      <w:tr w:rsidR="00ED1DBF" w:rsidRPr="00F17545" w14:paraId="112753E4" w14:textId="77777777" w:rsidTr="00D30DFD">
        <w:tc>
          <w:tcPr>
            <w:cnfStyle w:val="001000000000" w:firstRow="0" w:lastRow="0" w:firstColumn="1" w:lastColumn="0" w:oddVBand="0" w:evenVBand="0" w:oddHBand="0" w:evenHBand="0" w:firstRowFirstColumn="0" w:firstRowLastColumn="0" w:lastRowFirstColumn="0" w:lastRowLastColumn="0"/>
            <w:tcW w:w="5436" w:type="dxa"/>
            <w:shd w:val="clear" w:color="auto" w:fill="auto"/>
          </w:tcPr>
          <w:p w14:paraId="1C719AC9" w14:textId="77777777" w:rsidR="00ED1DBF" w:rsidRPr="00F17545" w:rsidRDefault="00ED1DBF" w:rsidP="00915145">
            <w:pPr>
              <w:spacing w:line="360" w:lineRule="auto"/>
              <w:rPr>
                <w:rFonts w:ascii="Calibri" w:hAnsi="Calibri"/>
                <w:sz w:val="20"/>
                <w:szCs w:val="20"/>
              </w:rPr>
            </w:pPr>
            <w:r>
              <w:rPr>
                <w:rFonts w:ascii="Calibri" w:hAnsi="Calibri"/>
                <w:sz w:val="20"/>
                <w:szCs w:val="20"/>
              </w:rPr>
              <w:t>Leukocytosis (reported in chart notes)</w:t>
            </w:r>
          </w:p>
        </w:tc>
        <w:tc>
          <w:tcPr>
            <w:tcW w:w="934" w:type="dxa"/>
            <w:shd w:val="clear" w:color="auto" w:fill="auto"/>
          </w:tcPr>
          <w:p w14:paraId="4D4BC817" w14:textId="77777777" w:rsidR="00ED1DBF" w:rsidRPr="00F17545" w:rsidRDefault="00ED1DBF" w:rsidP="0091514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8</w:t>
            </w:r>
          </w:p>
        </w:tc>
        <w:tc>
          <w:tcPr>
            <w:tcW w:w="961" w:type="dxa"/>
            <w:shd w:val="clear" w:color="auto" w:fill="auto"/>
          </w:tcPr>
          <w:p w14:paraId="6F480799" w14:textId="77777777" w:rsidR="00ED1DBF" w:rsidRPr="00F17545" w:rsidRDefault="00ED1DBF" w:rsidP="0091514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7</w:t>
            </w:r>
          </w:p>
        </w:tc>
        <w:tc>
          <w:tcPr>
            <w:tcW w:w="873" w:type="dxa"/>
            <w:shd w:val="clear" w:color="auto" w:fill="auto"/>
          </w:tcPr>
          <w:p w14:paraId="39587257" w14:textId="77777777" w:rsidR="00ED1DBF" w:rsidRPr="003B2744" w:rsidRDefault="00ED1DBF" w:rsidP="00915145">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0.771</w:t>
            </w:r>
          </w:p>
        </w:tc>
      </w:tr>
      <w:tr w:rsidR="00ED1DBF" w:rsidRPr="00F17545" w14:paraId="0374D980" w14:textId="77777777" w:rsidTr="00D30DFD">
        <w:tc>
          <w:tcPr>
            <w:cnfStyle w:val="001000000000" w:firstRow="0" w:lastRow="0" w:firstColumn="1" w:lastColumn="0" w:oddVBand="0" w:evenVBand="0" w:oddHBand="0" w:evenHBand="0" w:firstRowFirstColumn="0" w:firstRowLastColumn="0" w:lastRowFirstColumn="0" w:lastRowLastColumn="0"/>
            <w:tcW w:w="5436" w:type="dxa"/>
            <w:shd w:val="clear" w:color="auto" w:fill="auto"/>
          </w:tcPr>
          <w:p w14:paraId="2CCA14F7" w14:textId="4AC0D505" w:rsidR="00ED1DBF" w:rsidRPr="00F17545" w:rsidRDefault="00ED1DBF" w:rsidP="00915145">
            <w:pPr>
              <w:spacing w:line="360" w:lineRule="auto"/>
              <w:rPr>
                <w:rFonts w:ascii="Calibri" w:hAnsi="Calibri"/>
                <w:sz w:val="20"/>
                <w:szCs w:val="20"/>
              </w:rPr>
            </w:pPr>
            <w:r>
              <w:rPr>
                <w:rFonts w:ascii="Calibri" w:hAnsi="Calibri"/>
                <w:sz w:val="20"/>
                <w:szCs w:val="20"/>
              </w:rPr>
              <w:t>Leukocytosis (based on retrospective review of lab results)</w:t>
            </w:r>
          </w:p>
        </w:tc>
        <w:tc>
          <w:tcPr>
            <w:tcW w:w="934" w:type="dxa"/>
            <w:shd w:val="clear" w:color="auto" w:fill="auto"/>
          </w:tcPr>
          <w:p w14:paraId="5F9317FA" w14:textId="77777777" w:rsidR="00ED1DBF" w:rsidRPr="00F17545" w:rsidRDefault="00ED1DBF" w:rsidP="0091514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20</w:t>
            </w:r>
          </w:p>
        </w:tc>
        <w:tc>
          <w:tcPr>
            <w:tcW w:w="961" w:type="dxa"/>
            <w:shd w:val="clear" w:color="auto" w:fill="auto"/>
          </w:tcPr>
          <w:p w14:paraId="290BC044" w14:textId="77777777" w:rsidR="00ED1DBF" w:rsidRPr="00F17545" w:rsidRDefault="00ED1DBF" w:rsidP="0091514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21</w:t>
            </w:r>
          </w:p>
        </w:tc>
        <w:tc>
          <w:tcPr>
            <w:tcW w:w="873" w:type="dxa"/>
            <w:shd w:val="clear" w:color="auto" w:fill="auto"/>
          </w:tcPr>
          <w:p w14:paraId="42DBC080" w14:textId="77777777" w:rsidR="00ED1DBF" w:rsidRPr="003B2744" w:rsidRDefault="00ED1DBF" w:rsidP="00915145">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w:t>
            </w:r>
          </w:p>
        </w:tc>
      </w:tr>
      <w:tr w:rsidR="00ED1DBF" w:rsidRPr="00F17545" w14:paraId="59352B1F" w14:textId="77777777" w:rsidTr="00D30DFD">
        <w:tc>
          <w:tcPr>
            <w:cnfStyle w:val="001000000000" w:firstRow="0" w:lastRow="0" w:firstColumn="1" w:lastColumn="0" w:oddVBand="0" w:evenVBand="0" w:oddHBand="0" w:evenHBand="0" w:firstRowFirstColumn="0" w:firstRowLastColumn="0" w:lastRowFirstColumn="0" w:lastRowLastColumn="0"/>
            <w:tcW w:w="5436" w:type="dxa"/>
            <w:shd w:val="clear" w:color="auto" w:fill="auto"/>
          </w:tcPr>
          <w:p w14:paraId="34C8C5AA" w14:textId="77777777" w:rsidR="00ED1DBF" w:rsidRPr="00F17545" w:rsidRDefault="00ED1DBF" w:rsidP="00915145">
            <w:pPr>
              <w:spacing w:line="360" w:lineRule="auto"/>
              <w:rPr>
                <w:rFonts w:ascii="Calibri" w:hAnsi="Calibri"/>
                <w:sz w:val="20"/>
                <w:szCs w:val="20"/>
              </w:rPr>
            </w:pPr>
            <w:r>
              <w:rPr>
                <w:rFonts w:ascii="Calibri" w:hAnsi="Calibri"/>
                <w:sz w:val="20"/>
                <w:szCs w:val="20"/>
              </w:rPr>
              <w:t>Untreated EBG (reported in chart notes)</w:t>
            </w:r>
          </w:p>
        </w:tc>
        <w:tc>
          <w:tcPr>
            <w:tcW w:w="934" w:type="dxa"/>
            <w:shd w:val="clear" w:color="auto" w:fill="auto"/>
          </w:tcPr>
          <w:p w14:paraId="1553CD26" w14:textId="77777777" w:rsidR="00ED1DBF" w:rsidRPr="00F17545" w:rsidRDefault="00ED1DBF" w:rsidP="0091514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w:t>
            </w:r>
          </w:p>
        </w:tc>
        <w:tc>
          <w:tcPr>
            <w:tcW w:w="961" w:type="dxa"/>
            <w:shd w:val="clear" w:color="auto" w:fill="auto"/>
          </w:tcPr>
          <w:p w14:paraId="4AF1DBBC" w14:textId="77777777" w:rsidR="00ED1DBF" w:rsidRPr="00F17545" w:rsidRDefault="00ED1DBF" w:rsidP="0091514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w:t>
            </w:r>
          </w:p>
        </w:tc>
        <w:tc>
          <w:tcPr>
            <w:tcW w:w="873" w:type="dxa"/>
            <w:shd w:val="clear" w:color="auto" w:fill="auto"/>
          </w:tcPr>
          <w:p w14:paraId="3B87863A" w14:textId="77777777" w:rsidR="00ED1DBF" w:rsidRPr="003B2744" w:rsidRDefault="00ED1DBF" w:rsidP="00915145">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w:t>
            </w:r>
          </w:p>
        </w:tc>
      </w:tr>
      <w:tr w:rsidR="00ED1DBF" w:rsidRPr="00F17545" w14:paraId="574AA9ED" w14:textId="77777777" w:rsidTr="00D30DFD">
        <w:tc>
          <w:tcPr>
            <w:cnfStyle w:val="001000000000" w:firstRow="0" w:lastRow="0" w:firstColumn="1" w:lastColumn="0" w:oddVBand="0" w:evenVBand="0" w:oddHBand="0" w:evenHBand="0" w:firstRowFirstColumn="0" w:firstRowLastColumn="0" w:lastRowFirstColumn="0" w:lastRowLastColumn="0"/>
            <w:tcW w:w="5436" w:type="dxa"/>
            <w:shd w:val="clear" w:color="auto" w:fill="auto"/>
          </w:tcPr>
          <w:p w14:paraId="67C42C1C" w14:textId="62B905D1" w:rsidR="00ED1DBF" w:rsidRPr="00F17545" w:rsidRDefault="00ED1DBF" w:rsidP="00915145">
            <w:pPr>
              <w:spacing w:line="360" w:lineRule="auto"/>
              <w:rPr>
                <w:rFonts w:ascii="Calibri" w:hAnsi="Calibri"/>
                <w:sz w:val="20"/>
                <w:szCs w:val="20"/>
              </w:rPr>
            </w:pPr>
            <w:r>
              <w:rPr>
                <w:rFonts w:ascii="Calibri" w:hAnsi="Calibri"/>
                <w:sz w:val="20"/>
                <w:szCs w:val="20"/>
              </w:rPr>
              <w:t>Untreated EBG (based on retrospective review of lab results)</w:t>
            </w:r>
          </w:p>
        </w:tc>
        <w:tc>
          <w:tcPr>
            <w:tcW w:w="934" w:type="dxa"/>
            <w:shd w:val="clear" w:color="auto" w:fill="auto"/>
          </w:tcPr>
          <w:p w14:paraId="6BDD24EE" w14:textId="77777777" w:rsidR="00ED1DBF" w:rsidRPr="00F17545" w:rsidRDefault="00ED1DBF" w:rsidP="0091514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27</w:t>
            </w:r>
          </w:p>
        </w:tc>
        <w:tc>
          <w:tcPr>
            <w:tcW w:w="961" w:type="dxa"/>
            <w:shd w:val="clear" w:color="auto" w:fill="auto"/>
          </w:tcPr>
          <w:p w14:paraId="1DDEBAD8" w14:textId="77777777" w:rsidR="00ED1DBF" w:rsidRPr="00F17545" w:rsidRDefault="00ED1DBF" w:rsidP="0091514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21</w:t>
            </w:r>
          </w:p>
        </w:tc>
        <w:tc>
          <w:tcPr>
            <w:tcW w:w="873" w:type="dxa"/>
            <w:shd w:val="clear" w:color="auto" w:fill="auto"/>
          </w:tcPr>
          <w:p w14:paraId="04B2B807" w14:textId="77777777" w:rsidR="00ED1DBF" w:rsidRPr="003B2744" w:rsidRDefault="00ED1DBF" w:rsidP="00915145">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0.254</w:t>
            </w:r>
          </w:p>
        </w:tc>
      </w:tr>
    </w:tbl>
    <w:p w14:paraId="6665CA94" w14:textId="77777777" w:rsidR="00ED1DBF" w:rsidRDefault="00ED1DBF" w:rsidP="00ED1DBF">
      <w:pPr>
        <w:rPr>
          <w:rFonts w:ascii="Times New Roman" w:eastAsia="Times New Roman" w:hAnsi="Times New Roman" w:cs="Times New Roman"/>
          <w:color w:val="222222"/>
        </w:rPr>
      </w:pPr>
    </w:p>
    <w:p w14:paraId="2C9E1564" w14:textId="77777777" w:rsidR="00ED1DBF" w:rsidRDefault="00ED1DBF" w:rsidP="00ED1DBF">
      <w:pPr>
        <w:pStyle w:val="Heading2"/>
      </w:pPr>
      <w:r>
        <w:lastRenderedPageBreak/>
        <w:t xml:space="preserve">Discussion </w:t>
      </w:r>
    </w:p>
    <w:p w14:paraId="47A77538" w14:textId="2CD38704" w:rsidR="00ED1DBF" w:rsidRDefault="00ED1DBF" w:rsidP="00ED1DBF">
      <w:r>
        <w:t xml:space="preserve">Anterior cervical discectomy and fusion (ACDF) is a popular, effective, and relatively low-risk surgical option for the treatment of multilevel cervical pathologies. Despite its well documented success rate, one of the major drawbacks of this procedure is the possible development of post-operative dysphagia. </w:t>
      </w:r>
    </w:p>
    <w:p w14:paraId="7E48C1A7" w14:textId="12F23A46" w:rsidR="00ED1DBF" w:rsidRDefault="00ED1DBF" w:rsidP="00ED1DBF">
      <w:r>
        <w:t>While</w:t>
      </w:r>
      <w:r w:rsidR="002A7482">
        <w:t xml:space="preserve"> the</w:t>
      </w:r>
      <w:r>
        <w:t xml:space="preserve"> reported incidence of </w:t>
      </w:r>
      <w:r w:rsidR="006E41FF">
        <w:t>dysphagia</w:t>
      </w:r>
      <w:r>
        <w:t xml:space="preserve"> widely</w:t>
      </w:r>
      <w:r w:rsidR="002A7482">
        <w:t xml:space="preserve"> varies</w:t>
      </w:r>
      <w:r>
        <w:t xml:space="preserve"> in the literature, </w:t>
      </w:r>
      <w:r w:rsidR="002A7482">
        <w:t xml:space="preserve">it </w:t>
      </w:r>
      <w:r>
        <w:t>is clear that a therapeutic or preventative solution is needed to reduce the severity or even prevent the development of dyspha</w:t>
      </w:r>
      <w:r w:rsidR="00920361">
        <w:t>g</w:t>
      </w:r>
      <w:r>
        <w:t xml:space="preserve">ia. As such, over the past several years, multiple investigators have looked into the effects of both systemic and local steroid application.      </w:t>
      </w:r>
    </w:p>
    <w:p w14:paraId="483A1B7A" w14:textId="61EB0B5A" w:rsidR="00ED1DBF" w:rsidRPr="00532530" w:rsidRDefault="00ED1DBF" w:rsidP="00ED1DBF">
      <w:pPr>
        <w:rPr>
          <w:color w:val="000000" w:themeColor="text1"/>
        </w:rPr>
      </w:pPr>
      <w:r>
        <w:t xml:space="preserve">Studies investigating the effects of </w:t>
      </w:r>
      <w:r w:rsidRPr="0013110A">
        <w:rPr>
          <w:b/>
        </w:rPr>
        <w:t>systemic steroid</w:t>
      </w:r>
      <w:r>
        <w:t xml:space="preserve"> </w:t>
      </w:r>
      <w:r w:rsidRPr="0013110A">
        <w:rPr>
          <w:b/>
        </w:rPr>
        <w:t>use</w:t>
      </w:r>
      <w:r>
        <w:t xml:space="preserve"> have mixed results in terms of its effectiveness in reducing post-operative </w:t>
      </w:r>
      <w:r w:rsidRPr="00532530">
        <w:t xml:space="preserve">dysphagia. </w:t>
      </w:r>
      <w:proofErr w:type="spellStart"/>
      <w:r w:rsidRPr="00532530">
        <w:t>Jeyamohan</w:t>
      </w:r>
      <w:proofErr w:type="spellEnd"/>
      <w:r w:rsidRPr="00532530">
        <w:t xml:space="preserve"> et al</w:t>
      </w:r>
      <w:r w:rsidR="00920361">
        <w:t>.</w:t>
      </w:r>
      <w:r w:rsidRPr="00532530">
        <w:t xml:space="preserve"> </w:t>
      </w:r>
      <w:r w:rsidRPr="00532530">
        <w:fldChar w:fldCharType="begin" w:fldLock="1"/>
      </w:r>
      <w:r w:rsidR="001A0F0E">
        <w:instrText>ADDIN CSL_CITATION { "citationItems" : [ { "id" : "ITEM-1", "itemData" : { "DOI" : "10.3171/2014.12.SPINE14477 [doi]", "ISSN" : "1547-5646; 1547-5646", "abstract" : "OBJECT Anterior cervical discectomy and fusion (ACDF) is an effective procedure for the treatment of cervical radiculopathy and/or myelopathy; however, postoperative dysphagia is a significant concern. Dexamethasone, although potentially protective against perioperative dysphagia and airway compromise, could inhibit fusion, a generally proinflammatory process. The authors conducted a prospective, randomized, double-blinded, controlled study of the effects of steroids on swallowing, the airway, and arthrodesis related to multilevel anterior cervical reconstruction in patients who were undergoing ACDF at Albany Medical Center between 2008 and 2012. The objective of this study was to determine if perioperative steroid use improves perioperative dysphagia and airway edema. METHODS A total of 112 patients were enrolled and randomly assigned to receive saline or dexamethasone. Data gathered included demographics, functional status (including modified Japanese Orthopaedic Association myelopathy score, neck disability index, 12-Item Short-Form Health Survey score, and patient-reported visual analog scale score of axial and radiating pain), functional outcome swallowing scale score, interval postoperative imaging, fusion status, and complications/reoperations. Follow-up was performed at 1, 3, 6, 12, and 24 months, and CT was performed 6, 12, and 24 months after surgery for fusion assessment. RESULTS Baseline demographics were not significantly different between the 2 groups, indicating adequate randomization. In terms of patient-reported functional and pain-related outcomes, there were no differences in the steroid and placebo groups. However, the severity of dysphagia in the postoperative period up to 1 month proved to be significantly lower in the steroid group than in the placebo group (p = 0.027). Furthermore, airway difficulty and a need for intubation trended toward significance in the placebo group (p = 0.057). Last, fusion rates at 6 months proved to be significantly lower in the steroid group but lost significance at 12 months (p = 0.048 and 0.57, respectively). CONCLUSIONS Dexamethasone administered perioperatively significantly improved swallowing function and airway edema and shortened length of stay. It did not affect pain, functional outcomes, or long-term swallowing status. However, it significantly delayed fusion, but the long-term fusion rates remained unaffected. Clinical trial registration no.: NCT01065961 (clinicaltrials.gov).", "author" : [ { "dropping-particle" : "", "family" : "Jeyamohan", "given" : "S B", "non-dropping-particle" : "", "parse-names" : false, "suffix" : "" }, { "dropping-particle" : "", "family" : "Kenning", "given" : "T J", "non-dropping-particle" : "", "parse-names" : false, "suffix" : "" }, { "dropping-particle" : "", "family" : "Petronis", "given" : "K A", "non-dropping-particle" : "", "parse-names" : false, "suffix" : "" }, { "dropping-particle" : "", "family" : "Feustel", "given" : "P J", "non-dropping-particle" : "", "parse-names" : false, "suffix" : "" }, { "dropping-particle" : "", "family" : "Drazin", "given" : "D", "non-dropping-particle" : "", "parse-names" : false, "suffix" : "" }, { "dropping-particle" : "", "family" : "DiRisio", "given" : "D J", "non-dropping-particle" : "", "parse-names" : false, "suffix" : "" } ], "container-title" : "Journal of neurosurgery.Spine", "id" : "ITEM-1", "issue" : "2", "issued" : { "date-parts" : [ [ "2015", "8" ] ] }, "page" : "137-143", "publisher-place" : "Department of Neurosurgery, Albany Medical College, Albany, New York.; Department of Neurosurgery, Albany Medical College, Albany, New York.; Department of Neurosurgery, Albany Medical College, Albany, New York.; Department of Neurosurgery, Albany Medical", "title" : "Effect of steroid use in anterior cervical discectomy and fusion: a randomized controlled trial", "type" : "article-journal", "volume" : "23" }, "uris" : [ "http://www.mendeley.com/documents/?uuid=db026e1a-7035-478c-8378-75df235acec7", "http://www.mendeley.com/documents/?uuid=c9d356fb-49d1-4079-b224-2a59fad2b989" ] } ], "mendeley" : { "formattedCitation" : "[23]", "plainTextFormattedCitation" : "[23]", "previouslyFormattedCitation" : "[23]" }, "properties" : { "noteIndex" : 0 }, "schema" : "https://github.com/citation-style-language/schema/raw/master/csl-citation.json" }</w:instrText>
      </w:r>
      <w:r w:rsidRPr="00532530">
        <w:fldChar w:fldCharType="separate"/>
      </w:r>
      <w:r w:rsidR="001A0F0E" w:rsidRPr="001A0F0E">
        <w:rPr>
          <w:noProof/>
        </w:rPr>
        <w:t>[23]</w:t>
      </w:r>
      <w:r w:rsidRPr="00532530">
        <w:fldChar w:fldCharType="end"/>
      </w:r>
      <w:r w:rsidRPr="00532530">
        <w:t xml:space="preserve"> </w:t>
      </w:r>
      <w:r w:rsidR="002A7482">
        <w:t xml:space="preserve">developed </w:t>
      </w:r>
      <w:r w:rsidRPr="00532530">
        <w:t xml:space="preserve">a RCT </w:t>
      </w:r>
      <w:r w:rsidR="002A7482">
        <w:t xml:space="preserve">with </w:t>
      </w:r>
      <w:r w:rsidRPr="00532530">
        <w:t xml:space="preserve">112 ACDF patients randomized to either intravenous saline </w:t>
      </w:r>
      <w:r w:rsidR="00920361">
        <w:t>or</w:t>
      </w:r>
      <w:r w:rsidR="00920361" w:rsidRPr="00532530">
        <w:t xml:space="preserve"> </w:t>
      </w:r>
      <w:r w:rsidRPr="00532530">
        <w:t>dexamethasone</w:t>
      </w:r>
      <w:r w:rsidR="002A7482">
        <w:t>. They</w:t>
      </w:r>
      <w:r w:rsidRPr="00532530">
        <w:t xml:space="preserve"> reported the </w:t>
      </w:r>
      <w:r w:rsidR="00920361">
        <w:t>latter</w:t>
      </w:r>
      <w:r w:rsidR="00920361" w:rsidRPr="00532530">
        <w:t xml:space="preserve"> </w:t>
      </w:r>
      <w:r w:rsidR="002A7482">
        <w:t>to be</w:t>
      </w:r>
      <w:r w:rsidR="00920361">
        <w:t xml:space="preserve"> comparatively</w:t>
      </w:r>
      <w:r w:rsidR="002A7482">
        <w:t xml:space="preserve"> </w:t>
      </w:r>
      <w:r w:rsidRPr="00532530">
        <w:t>effective in reducing dysphagia</w:t>
      </w:r>
      <w:r w:rsidR="00920361">
        <w:t>,</w:t>
      </w:r>
      <w:r w:rsidRPr="00532530">
        <w:t xml:space="preserve"> as measured by the functional outcome swallowing scale (FOSS) 1 month following the surgery. Song et al</w:t>
      </w:r>
      <w:r w:rsidR="00920361">
        <w:t>.</w:t>
      </w:r>
      <w:r w:rsidRPr="00532530">
        <w:t xml:space="preserve"> </w:t>
      </w:r>
      <w:r w:rsidRPr="00532530">
        <w:fldChar w:fldCharType="begin" w:fldLock="1"/>
      </w:r>
      <w:r w:rsidR="001A0F0E">
        <w:instrText>ADDIN CSL_CITATION { "citationItems" : [ { "id" : "ITEM-1", "itemData" : { "DOI" : "10.1016/j.spinee.2014.06.005", "ISSN" : "1529-9430", "author" : [ { "dropping-particle" : "", "family" : "Song", "given" : "Kyung-jin", "non-dropping-particle" : "", "parse-names" : false, "suffix" : "" }, { "dropping-particle" : "", "family" : "Lee", "given" : "Su-kyung", "non-dropping-particle" : "", "parse-names" : false, "suffix" : "" }, { "dropping-particle" : "", "family" : "Ko", "given" : "Jong-hyun", "non-dropping-particle" : "", "parse-names" : false, "suffix" : "" }, { "dropping-particle" : "", "family" : "Yoo", "given" : "Myung-jae", "non-dropping-particle" : "", "parse-names" : false, "suffix" : "" }, { "dropping-particle" : "", "family" : "Kim", "given" : "Do-yeon", "non-dropping-particle" : "", "parse-names" : false, "suffix" : "" }, { "dropping-particle" : "", "family" : "Lee", "given" : "Kwang-bok", "non-dropping-particle" : "", "parse-names" : false, "suffix" : "" } ], "container-title" : "The Spine Journal", "id" : "ITEM-1", "issue" : "12", "issued" : { "date-parts" : [ [ "2014" ] ] }, "page" : "2954-2958", "publisher" : "Elsevier Inc", "title" : "The clinical efficacy of short-term steroid treatment in multilevel anterior cervical arthrodesis", "type" : "article-journal", "volume" : "14" }, "uris" : [ "http://www.mendeley.com/documents/?uuid=bf44fb5c-c3fe-45bd-997c-b9cba19cc9e2", "http://www.mendeley.com/documents/?uuid=a7d22142-dc2d-4748-b806-482f66452fb8" ] } ], "mendeley" : { "formattedCitation" : "[19]", "plainTextFormattedCitation" : "[19]", "previouslyFormattedCitation" : "[19]" }, "properties" : { "noteIndex" : 0 }, "schema" : "https://github.com/citation-style-language/schema/raw/master/csl-citation.json" }</w:instrText>
      </w:r>
      <w:r w:rsidRPr="00532530">
        <w:fldChar w:fldCharType="separate"/>
      </w:r>
      <w:r w:rsidR="001A0F0E" w:rsidRPr="001A0F0E">
        <w:rPr>
          <w:noProof/>
        </w:rPr>
        <w:t>[19]</w:t>
      </w:r>
      <w:r w:rsidRPr="00532530">
        <w:fldChar w:fldCharType="end"/>
      </w:r>
      <w:r w:rsidRPr="00532530">
        <w:t xml:space="preserve"> in a prospective study of multi-level ACDF compared 20 patients who received 250mg of IV methylprednisolone 4-times a day during 24h to 20 control patients; they reported significantly reduced rates of dysphagia as measured by the Bazaz score, and reduced length of stay. On the other hand, </w:t>
      </w:r>
      <w:proofErr w:type="spellStart"/>
      <w:r w:rsidRPr="00532530">
        <w:rPr>
          <w:color w:val="000000" w:themeColor="text1"/>
        </w:rPr>
        <w:t>Pedram</w:t>
      </w:r>
      <w:proofErr w:type="spellEnd"/>
      <w:r w:rsidRPr="00532530">
        <w:rPr>
          <w:color w:val="000000" w:themeColor="text1"/>
        </w:rPr>
        <w:t xml:space="preserve"> et al</w:t>
      </w:r>
      <w:r w:rsidR="00856563">
        <w:rPr>
          <w:color w:val="000000" w:themeColor="text1"/>
        </w:rPr>
        <w:t>.</w:t>
      </w:r>
      <w:r w:rsidRPr="00532530">
        <w:rPr>
          <w:color w:val="000000" w:themeColor="text1"/>
        </w:rPr>
        <w:t xml:space="preserve"> </w:t>
      </w:r>
      <w:r w:rsidRPr="00532530">
        <w:rPr>
          <w:color w:val="000000" w:themeColor="text1"/>
        </w:rPr>
        <w:fldChar w:fldCharType="begin" w:fldLock="1"/>
      </w:r>
      <w:r w:rsidR="001A0F0E">
        <w:rPr>
          <w:color w:val="000000" w:themeColor="text1"/>
        </w:rPr>
        <w:instrText>ADDIN CSL_CITATION { "citationItems" : [ { "id" : "ITEM-1", "itemData" : { "DOI" : "10.1007/s00586-002-0495-6", "ISSN" : "0940-6719", "PMID" : "12592551", "abstract" : "Cervical spinal surgery through anterior approaches can lead to ear, nose and throat (ENT) complications, some of which, such as obstruction of upper airways by edema, are potentially life threatening. The purpose of this study was to evaluate the incidence of various categories of ENT lesions and to determine whether preventive treatment with methylprednisolone (Mp) is useful in this indication. In a prospective trial, 236 patients who were undergoing anterior cervical spine surgery were separated into two groups, a control group (group I: 158 patients) and a group receiving 1 mg/kg of Mp intravenously at the end of the operation and 12 and 24 h later (group II: 78 patients). All 236 patients underwent nasofibroscopic examination by an ENT specialist the day before the operation and 24 and 36 h after the operation. The lesions observed during these examinations and reported symptoms such as uncomfortable sensation, odynophagia, or dysphagia were compared between the two groups (chi(2) or Mann-Whitney test) in terms of relative risk, with a confidence interval of 95%. Quantitative findings were compared using Student's t-test ( P&lt;0.05). Demographic characteristics and duration of endotracheal intubation were comparable in the two groups. The ENT examination was considered abnormal in 30 patients of group I and 15 patients of group II preoperatively (NS). It was abnormal in 146 patients of group I (92%) and 46 patients of group II (59%) postoperatively. Altered vocal cord motility was noted in six patients of group I and two patients of group II. The relative risk was 1.6 (CI: 1.3-1.9). Postoperatively, 130 patients in group I and 56 of group II (NS) reported unwanted symptoms. The observed lesions were significantly more severe in group I ( P&lt;0.001), involving primarily the pharyngeal wall, the arytenoids, and the vocal cords. The results of this study indicate that ENT complications of anterior cervical spinal surgery are diminished by administration of Mp. Systematic ENT examination is warranted before this type of operation.", "author" : [ { "dropping-particle" : "", "family" : "Pedram", "given" : "M", "non-dropping-particle" : "", "parse-names" : false, "suffix" : "" }, { "dropping-particle" : "", "family" : "Castagnera", "given" : "L", "non-dropping-particle" : "", "parse-names" : false, "suffix" : "" }, { "dropping-particle" : "", "family" : "Carat", "given" : "X", "non-dropping-particle" : "", "parse-names" : false, "suffix" : "" }, { "dropping-particle" : "", "family" : "Macouillard", "given" : "G", "non-dropping-particle" : "", "parse-names" : false, "suffix" : "" }, { "dropping-particle" : "", "family" : "Vital", "given" : "J-M", "non-dropping-particle" : "", "parse-names" : false, "suffix" : "" } ], "container-title" : "European spine journal : official publication of the European Spine Society, the European Spinal Deformity Society, and the European Section of the Cervical Spine Research Society", "id" : "ITEM-1", "issue" : "1", "issued" : { "date-parts" : [ [ "2003", "2" ] ] }, "page" : "84-90", "title" : "Pharyngolaryngeal lesions in patients undergoing cervical spine surgery through the anterior approach: contribution of methylprednisolone.", "type" : "article-journal", "volume" : "12" }, "uris" : [ "http://www.mendeley.com/documents/?uuid=5bda2ae6-5ded-3ad6-a72d-f96d554565dc" ] } ], "mendeley" : { "formattedCitation" : "[20]", "plainTextFormattedCitation" : "[20]", "previouslyFormattedCitation" : "[20]" }, "properties" : { "noteIndex" : 0 }, "schema" : "https://github.com/citation-style-language/schema/raw/master/csl-citation.json" }</w:instrText>
      </w:r>
      <w:r w:rsidRPr="00532530">
        <w:rPr>
          <w:color w:val="000000" w:themeColor="text1"/>
        </w:rPr>
        <w:fldChar w:fldCharType="separate"/>
      </w:r>
      <w:r w:rsidR="001A0F0E" w:rsidRPr="001A0F0E">
        <w:rPr>
          <w:noProof/>
          <w:color w:val="000000" w:themeColor="text1"/>
        </w:rPr>
        <w:t>[20]</w:t>
      </w:r>
      <w:r w:rsidRPr="00532530">
        <w:rPr>
          <w:color w:val="000000" w:themeColor="text1"/>
        </w:rPr>
        <w:fldChar w:fldCharType="end"/>
      </w:r>
      <w:r w:rsidRPr="00532530">
        <w:rPr>
          <w:color w:val="000000" w:themeColor="text1"/>
        </w:rPr>
        <w:t xml:space="preserve"> demonstrated that high doses of IV methylprednisolone given </w:t>
      </w:r>
      <w:proofErr w:type="spellStart"/>
      <w:r w:rsidRPr="00532530">
        <w:rPr>
          <w:color w:val="000000" w:themeColor="text1"/>
        </w:rPr>
        <w:t>immediately</w:t>
      </w:r>
      <w:r w:rsidR="003B1FEA">
        <w:rPr>
          <w:color w:val="000000" w:themeColor="text1"/>
        </w:rPr>
        <w:t>after</w:t>
      </w:r>
      <w:proofErr w:type="spellEnd"/>
      <w:r w:rsidR="003B1FEA">
        <w:rPr>
          <w:color w:val="000000" w:themeColor="text1"/>
        </w:rPr>
        <w:t xml:space="preserve"> the operation</w:t>
      </w:r>
      <w:r w:rsidRPr="00532530">
        <w:rPr>
          <w:color w:val="000000" w:themeColor="text1"/>
        </w:rPr>
        <w:t xml:space="preserve">, 12hrs post-op, and 24hrs post-op reduced damage to </w:t>
      </w:r>
      <w:r w:rsidR="00856563">
        <w:rPr>
          <w:color w:val="000000" w:themeColor="text1"/>
        </w:rPr>
        <w:t xml:space="preserve">the </w:t>
      </w:r>
      <w:r w:rsidRPr="00532530">
        <w:rPr>
          <w:color w:val="000000" w:themeColor="text1"/>
        </w:rPr>
        <w:t>pharyngeal wall, arytenoids, and vocal cords</w:t>
      </w:r>
      <w:r w:rsidR="00856563">
        <w:rPr>
          <w:color w:val="000000" w:themeColor="text1"/>
        </w:rPr>
        <w:t>,</w:t>
      </w:r>
      <w:r w:rsidRPr="00532530">
        <w:rPr>
          <w:color w:val="000000" w:themeColor="text1"/>
        </w:rPr>
        <w:t xml:space="preserve"> but did not reduce dysphagia.</w:t>
      </w:r>
    </w:p>
    <w:p w14:paraId="783D023D" w14:textId="111F6C2A" w:rsidR="00ED1DBF" w:rsidRDefault="00ED1DBF" w:rsidP="00ED1DBF">
      <w:r w:rsidRPr="009A6BC5">
        <w:rPr>
          <w:color w:val="000000" w:themeColor="text1"/>
        </w:rPr>
        <w:t>Since the use of systemic steroid</w:t>
      </w:r>
      <w:r w:rsidR="00856563" w:rsidRPr="009A6BC5">
        <w:rPr>
          <w:color w:val="000000" w:themeColor="text1"/>
        </w:rPr>
        <w:t>s</w:t>
      </w:r>
      <w:r w:rsidRPr="009A6BC5">
        <w:rPr>
          <w:color w:val="000000" w:themeColor="text1"/>
        </w:rPr>
        <w:t xml:space="preserve"> does not come without concerns (delayed fusion, peptic ulcer disease, post-operative infection</w:t>
      </w:r>
      <w:r w:rsidR="00413CD8">
        <w:rPr>
          <w:color w:val="000000" w:themeColor="text1"/>
        </w:rPr>
        <w:t>, etc.</w:t>
      </w:r>
      <w:r w:rsidR="00413CD8" w:rsidRPr="009A6BC5">
        <w:rPr>
          <w:color w:val="000000" w:themeColor="text1"/>
        </w:rPr>
        <w:t xml:space="preserve">) </w:t>
      </w:r>
      <w:r w:rsidRPr="009A6BC5">
        <w:rPr>
          <w:color w:val="000000" w:themeColor="text1"/>
        </w:rPr>
        <w:t xml:space="preserve">a few authors have investigated the effect of </w:t>
      </w:r>
      <w:r w:rsidRPr="009A6BC5">
        <w:rPr>
          <w:b/>
          <w:color w:val="000000" w:themeColor="text1"/>
        </w:rPr>
        <w:t>local steroid</w:t>
      </w:r>
      <w:r w:rsidRPr="009A6BC5">
        <w:rPr>
          <w:color w:val="000000" w:themeColor="text1"/>
        </w:rPr>
        <w:t xml:space="preserve"> on </w:t>
      </w:r>
      <w:r w:rsidR="002A7482" w:rsidRPr="009A6BC5">
        <w:rPr>
          <w:color w:val="000000" w:themeColor="text1"/>
        </w:rPr>
        <w:t xml:space="preserve">dysphagia </w:t>
      </w:r>
      <w:r w:rsidRPr="009A6BC5">
        <w:rPr>
          <w:color w:val="000000" w:themeColor="text1"/>
        </w:rPr>
        <w:t>and/or Prevertebral Soft Tissue Swelling (PSTS) following ACDF. Lee et al</w:t>
      </w:r>
      <w:r w:rsidR="00650C05" w:rsidRPr="009A6BC5">
        <w:rPr>
          <w:color w:val="000000" w:themeColor="text1"/>
        </w:rPr>
        <w:t>.</w:t>
      </w:r>
      <w:r w:rsidRPr="009A6BC5">
        <w:rPr>
          <w:color w:val="000000" w:themeColor="text1"/>
        </w:rPr>
        <w:t xml:space="preserve"> </w:t>
      </w:r>
      <w:r w:rsidRPr="009A6BC5">
        <w:rPr>
          <w:color w:val="000000" w:themeColor="text1"/>
        </w:rPr>
        <w:fldChar w:fldCharType="begin" w:fldLock="1"/>
      </w:r>
      <w:r w:rsidR="009F10AD">
        <w:rPr>
          <w:color w:val="000000" w:themeColor="text1"/>
        </w:rPr>
        <w:instrText>ADDIN CSL_CITATION { "citationItems" : [ { "id" : "ITEM-1", "itemData" : { "DOI" : "10.1097/BRS.0b013e318237e5d0", "ISSN" : "0362-2436", "PMID" : "22020609", "abstract" : "STUDY DESIGN A prospective, randomized study. OBJECTIVE To analyze the effect of local retropharyngeal steroid to reduce prevertebral soft tissue swelling (PSTS) after anterior cervical discectomy and fusion (ACDF). SUMMARY OF BACKGROUND DATA There have been several reports on intravenous corticosteroid to prevent airway complication without a consensus; however, there have been no reports to date that have discussed the use of local steroids to reduce PSTS. METHODS Fifty cases that underwent ACDF involving 1 or 2 segments were enrolled. The mean follow-up period was 22 months. Of the 25 cases randomly selected as the steroid group, a mixture of triamcinolone and morcellized collagen sponge was applied to the retropharyngeal space before wound closure. For the control group, the other 25 cases received the operation without steroid. We measured the PSTS ratio to vertebral body from C3 to 7 and PSTS index (PSTSI; mean of PSTS ratio at C3, 4, and 5) on cervical spine. Simple lateral radiographs were taken preoperatively, immediately after operation, and at postoperative 2 days, 4 days, 2 weeks, and the last follow-up. The changes in odynophagia, radiological union, Neck Disability Index were analyzed. RESULTS The PSTS ratio of the steroid group was significantly lower on C3 and C4 immediately after operation, on C3, 4, 5 and C6 at postoperative 2 days, on C3, 4, and 5 at 4 days. The differences of PSTSI (the steroid: control group) maintained at 58.2: 74.3% (P = 0.004) immediately after operation, 57.9: 84.1% (P = 0.000) at 2 days, 56.3: 82.9% (P = 0.000) at 4 days, and 44.9: 51.4% (P = 0.037) at 2 weeks. The mean Visual Analogue Scale for odynophagia was significantly lower in the steroid group until postoperative 2 weeks. The last follow-up showed no significant difference in the radiological and clinical outcome. CONCLUSION Using the retropharyngeal local steroid, we significantly reduced PSTS and odynophagia following ACDF without additional complication. This method may be considered a simple and effective method to decrease PSTS following anterior cervical spine surgery.", "author" : [ { "dropping-particle" : "", "family" : "Lee", "given" : "Sang-Hun", "non-dropping-particle" : "", "parse-names" : false, "suffix" : "" }, { "dropping-particle" : "", "family" : "Kim", "given" : "Ki-Tack", "non-dropping-particle" : "", "parse-names" : false, "suffix" : "" }, { "dropping-particle" : "", "family" : "Suk", "given" : "Kyung-Soo", "non-dropping-particle" : "", "parse-names" : false, "suffix" : "" }, { "dropping-particle" : "", "family" : "Park", "given" : "Kyoung-Jun", "non-dropping-particle" : "", "parse-names" : false, "suffix" : "" }, { "dropping-particle" : "", "family" : "Oh", "given" : "Kyung-Il", "non-dropping-particle" : "", "parse-names" : false, "suffix" : "" } ], "container-title" : "Spine", "id" : "ITEM-1", "issue" : "26", "issued" : { "date-parts" : [ [ "2011", "12", "15" ] ] }, "page" : "2286-2292", "title" : "Effect of Retropharyngeal Steroid on Prevertebral Soft Tissue Swelling Following Anterior Cervical Discectomy and Fusion", "type" : "article-journal", "volume" : "36" }, "uris" : [ "http://www.mendeley.com/documents/?uuid=66724300-6b5a-3e74-a532-1919bfe4364e" ] } ], "mendeley" : { "formattedCitation" : "[11]", "plainTextFormattedCitation" : "[11]", "previouslyFormattedCitation" : "[11]" }, "properties" : { "noteIndex" : 0 }, "schema" : "https://github.com/citation-style-language/schema/raw/master/csl-citation.json" }</w:instrText>
      </w:r>
      <w:r w:rsidRPr="009A6BC5">
        <w:rPr>
          <w:color w:val="000000" w:themeColor="text1"/>
        </w:rPr>
        <w:fldChar w:fldCharType="separate"/>
      </w:r>
      <w:r w:rsidR="009F10AD" w:rsidRPr="009F10AD">
        <w:rPr>
          <w:noProof/>
          <w:color w:val="000000" w:themeColor="text1"/>
        </w:rPr>
        <w:t>[11]</w:t>
      </w:r>
      <w:r w:rsidRPr="009A6BC5">
        <w:rPr>
          <w:color w:val="000000" w:themeColor="text1"/>
        </w:rPr>
        <w:fldChar w:fldCharType="end"/>
      </w:r>
      <w:r w:rsidRPr="009A6BC5">
        <w:rPr>
          <w:color w:val="000000" w:themeColor="text1"/>
        </w:rPr>
        <w:t xml:space="preserve"> in a prospective randomized study of 50 patients, reported that</w:t>
      </w:r>
      <w:r w:rsidR="00387C16" w:rsidRPr="009A6BC5">
        <w:rPr>
          <w:color w:val="000000" w:themeColor="text1"/>
        </w:rPr>
        <w:t xml:space="preserve"> </w:t>
      </w:r>
      <w:r w:rsidRPr="009A6BC5">
        <w:t>local steroids on</w:t>
      </w:r>
      <w:r w:rsidR="00387C16" w:rsidRPr="009A6BC5">
        <w:t xml:space="preserve"> the</w:t>
      </w:r>
      <w:r w:rsidRPr="009A6BC5">
        <w:t xml:space="preserve"> retropharyngeal sponge were effective in reducing post-operative odynophagia and PSTS; this study was limited to 1 and 2-levels ACDF </w:t>
      </w:r>
      <w:r w:rsidRPr="009A6BC5">
        <w:lastRenderedPageBreak/>
        <w:t xml:space="preserve">and did not include any </w:t>
      </w:r>
      <w:r w:rsidR="002A7482" w:rsidRPr="009A6BC5">
        <w:rPr>
          <w:color w:val="000000" w:themeColor="text1"/>
        </w:rPr>
        <w:t xml:space="preserve">dysphagia </w:t>
      </w:r>
      <w:r w:rsidRPr="009A6BC5">
        <w:t>specific questionnaires. Using an administrative database</w:t>
      </w:r>
      <w:r w:rsidR="00880E4F" w:rsidRPr="009A6BC5">
        <w:t>,</w:t>
      </w:r>
      <w:r w:rsidRPr="009A6BC5">
        <w:t xml:space="preserve"> </w:t>
      </w:r>
      <w:proofErr w:type="spellStart"/>
      <w:r w:rsidRPr="009A6BC5">
        <w:t>Cancienne</w:t>
      </w:r>
      <w:proofErr w:type="spellEnd"/>
      <w:r w:rsidRPr="009A6BC5">
        <w:t xml:space="preserve"> et al</w:t>
      </w:r>
      <w:r w:rsidR="00387C16" w:rsidRPr="009A6BC5">
        <w:t>.</w:t>
      </w:r>
      <w:r w:rsidRPr="009A6BC5">
        <w:t xml:space="preserve"> </w:t>
      </w:r>
      <w:r w:rsidRPr="009A6BC5">
        <w:fldChar w:fldCharType="begin" w:fldLock="1"/>
      </w:r>
      <w:r w:rsidR="001A0F0E">
        <w:instrText>ADDIN CSL_CITATION { "citationItems" : [ { "id" : "ITEM-1", "itemData" : { "DOI" : "10.1097/BRS.0000000000001407", "ISBN" : "0000000000", "ISSN" : "1528-1159", "PMID" : "26679890", "abstract" : "STUDY DESIGN A retrospective database analysis. OBJECTIVE The aim of this study is to compare rates of postoperative dysphagia, length of stay, infection, and wound complications following short and long anterior cervical discectomy and fusion (ACDF) in patients who received local intraoperative steroids and those who did not. SUMMARY OF BACKGROUND DATA Only one prior small institutional study has investigated the application of local steroids at the time of ACDF to decrease postoperative dysphagia. METHODS A large administrative database was utilized to compare rates of postoperative dysphagia, length of stay, and infectious complications within 90 days in patients who received local steroid following short (1-2 level) and long (3 or more level) ACDF and control groups who did not. Nonobtainable information within the database included type of steroid, application technique, outcome data, and incidence of miscoding and noncoding by physicians. Odds ratios (ORs), 95% confidence intervals (95% CIs) and P values were then calculated using SPSS. RESULTS The incidence of dysphagia was significantly lower (9.0% vs. 14.6%, P = 0.005) in patients who received local steroid in the long ACDF group (n = 322) than a control group who did not (n = 45,432). This was not observed (P = 0.198) in the short ACDF group who received steroid (n = 1770) compared with a control group who did not (n = 198,230). The mean difference in length of stay was 1 day less for patients who received local steroid in both the short and long ACDF groups (P &lt; 0.0001). The combined rate of postoperative infection and wound complications was not significantly different between steroid and control groups (P = 0.717). CONCLUSION This analysis of a large administrative database suggests that local intraoperative steroid is associated with a significantly reduced rate of postoperative dysphagia after long ACDF and reduced average length of stay following both long and short ACDF without any increase in the rate of postoperative infection or wound complication. LEVEL OF EVIDENCE 3.", "author" : [ { "dropping-particle" : "", "family" : "Cancienne", "given" : "Jourdan M", "non-dropping-particle" : "", "parse-names" : false, "suffix" : "" }, { "dropping-particle" : "", "family" : "Werner", "given" : "Brian C", "non-dropping-particle" : "", "parse-names" : false, "suffix" : "" }, { "dropping-particle" : "", "family" : "Loeb", "given" : "Alex E", "non-dropping-particle" : "", "parse-names" : false, "suffix" : "" }, { "dropping-particle" : "", "family" : "Yang", "given" : "Scott S", "non-dropping-particle" : "", "parse-names" : false, "suffix" : "" }, { "dropping-particle" : "", "family" : "Hassanzadeh", "given" : "Hamid", "non-dropping-particle" : "", "parse-names" : false, "suffix" : "" }, { "dropping-particle" : "", "family" : "Singla", "given" : "Anuj", "non-dropping-particle" : "", "parse-names" : false, "suffix" : "" }, { "dropping-particle" : "", "family" : "Shen", "given" : "Frank H", "non-dropping-particle" : "", "parse-names" : false, "suffix" : "" }, { "dropping-particle" : "", "family" : "Shimer", "given" : "Adam L", "non-dropping-particle" : "", "parse-names" : false, "suffix" : "" } ], "container-title" : "Spine", "id" : "ITEM-1", "issue" : "13", "issued" : { "date-parts" : [ [ "2016", "7" ] ] }, "page" : "1084-8", "title" : "The Effect of Local Intraoperative Steroid Administration on the Rate of Postoperative Dysphagia Following ACDF: A Study of 245,754 Patients.", "type" : "article-journal", "volume" : "41" }, "uris" : [ "http://www.mendeley.com/documents/?uuid=19410fd3-965c-4548-b5b8-a912b00704ea", "http://www.mendeley.com/documents/?uuid=97732686-c06a-4f0b-8bd8-a11714d88431" ] } ], "mendeley" : { "formattedCitation" : "[22]", "plainTextFormattedCitation" : "[22]", "previouslyFormattedCitation" : "[22]" }, "properties" : { "noteIndex" : 0 }, "schema" : "https://github.com/citation-style-language/schema/raw/master/csl-citation.json" }</w:instrText>
      </w:r>
      <w:r w:rsidRPr="009A6BC5">
        <w:fldChar w:fldCharType="separate"/>
      </w:r>
      <w:r w:rsidR="001A0F0E" w:rsidRPr="001A0F0E">
        <w:rPr>
          <w:noProof/>
        </w:rPr>
        <w:t>[22]</w:t>
      </w:r>
      <w:r w:rsidRPr="009A6BC5">
        <w:fldChar w:fldCharType="end"/>
      </w:r>
      <w:r w:rsidRPr="009A6BC5">
        <w:t xml:space="preserve"> reported a lower incidence of </w:t>
      </w:r>
      <w:r w:rsidR="00880E4F" w:rsidRPr="009A6BC5">
        <w:rPr>
          <w:color w:val="000000" w:themeColor="text1"/>
        </w:rPr>
        <w:t xml:space="preserve">dysphagia </w:t>
      </w:r>
      <w:r w:rsidRPr="009A6BC5">
        <w:t xml:space="preserve"> (9% vs. 14.6%) with use of local steroid in the</w:t>
      </w:r>
      <w:r w:rsidRPr="00532530">
        <w:t xml:space="preserve"> setting of long ACDF (i.e. 3 level or more); no difference was found for short ACDF. Finally, in a retrospective review of 44 patients who underwent 2-4 ACDF levels, </w:t>
      </w:r>
      <w:proofErr w:type="spellStart"/>
      <w:r w:rsidRPr="00532530">
        <w:t>Koreckjii</w:t>
      </w:r>
      <w:proofErr w:type="spellEnd"/>
      <w:r w:rsidRPr="00532530">
        <w:t xml:space="preserve"> et al</w:t>
      </w:r>
      <w:r w:rsidR="00387C16">
        <w:t>.</w:t>
      </w:r>
      <w:r w:rsidRPr="00532530">
        <w:t xml:space="preserve"> </w:t>
      </w:r>
      <w:r w:rsidRPr="00532530">
        <w:fldChar w:fldCharType="begin" w:fldLock="1"/>
      </w:r>
      <w:r w:rsidR="009F10AD">
        <w:instrText>ADDIN CSL_CITATION { "citationItems" : [ { "id" : "ITEM-1", "itemData" : { "DOI" : "10.1097/BRS.0000000000001293", "ISBN" : "0000000000", "author" : [ { "dropping-particle" : "", "family" : "Koreckij", "given" : "Theodore D", "non-dropping-particle" : "", "parse-names" : false, "suffix" : "" }, { "dropping-particle" : "", "family" : "Davidson", "given" : "Abigail A", "non-dropping-particle" : "", "parse-names" : false, "suffix" : "" }, { "dropping-particle" : "", "family" : "Baker", "given" : "Kevin C", "non-dropping-particle" : "", "parse-names" : false, "suffix" : "" }, { "dropping-particle" : "", "family" : "Park", "given" : "Daniel K", "non-dropping-particle" : "", "parse-names" : false, "suffix" : "" } ], "id" : "ITEM-1", "issue" : "9", "issued" : { "date-parts" : [ [ "2016" ] ] }, "page" : "530-534", "title" : "Retropharyngeal Steroids and Dysphagia Following Multilevel Anterior Cervical Surgery", "type" : "article-journal", "volume" : "41" }, "uris" : [ "http://www.mendeley.com/documents/?uuid=94d08d25-159b-43ae-8e2d-c558b4eb11b2" ] } ], "mendeley" : { "formattedCitation" : "[9]", "plainTextFormattedCitation" : "[9]", "previouslyFormattedCitation" : "[9]" }, "properties" : { "noteIndex" : 0 }, "schema" : "https://github.com/citation-style-language/schema/raw/master/csl-citation.json" }</w:instrText>
      </w:r>
      <w:r w:rsidRPr="00532530">
        <w:fldChar w:fldCharType="separate"/>
      </w:r>
      <w:r w:rsidR="009F10AD" w:rsidRPr="009F10AD">
        <w:rPr>
          <w:noProof/>
        </w:rPr>
        <w:t>[9]</w:t>
      </w:r>
      <w:r w:rsidRPr="00532530">
        <w:fldChar w:fldCharType="end"/>
      </w:r>
      <w:r w:rsidRPr="00532530">
        <w:t xml:space="preserve"> reported better Bazaz-</w:t>
      </w:r>
      <w:proofErr w:type="spellStart"/>
      <w:r w:rsidRPr="00532530">
        <w:t>Yoo</w:t>
      </w:r>
      <w:proofErr w:type="spellEnd"/>
      <w:r w:rsidRPr="00532530">
        <w:t xml:space="preserve"> scores for the steroid group (80mg of methylprednisolone delivered on a collagen</w:t>
      </w:r>
      <w:r>
        <w:t xml:space="preserve"> sponge) than for the control one; no significant difference was found in terms of EAT-10 or PSTS. </w:t>
      </w:r>
    </w:p>
    <w:p w14:paraId="578BE614" w14:textId="55B433ED" w:rsidR="00ED1DBF" w:rsidRPr="00392DD7" w:rsidRDefault="006465AD" w:rsidP="00ED1DBF">
      <w:pPr>
        <w:rPr>
          <w:shd w:val="clear" w:color="auto" w:fill="FFFFFF"/>
        </w:rPr>
      </w:pPr>
      <w:r>
        <w:rPr>
          <w:color w:val="000000" w:themeColor="text1"/>
        </w:rPr>
        <w:t xml:space="preserve">The aim of the current study is </w:t>
      </w:r>
      <w:r w:rsidR="00880E4F">
        <w:rPr>
          <w:color w:val="000000" w:themeColor="text1"/>
        </w:rPr>
        <w:t xml:space="preserve">to investigate </w:t>
      </w:r>
      <w:r w:rsidR="00ED1DBF" w:rsidRPr="009B4002">
        <w:rPr>
          <w:color w:val="000000" w:themeColor="text1"/>
          <w:shd w:val="clear" w:color="auto" w:fill="FFFFFF"/>
        </w:rPr>
        <w:t xml:space="preserve">the effectiveness of intraoperative topical steroids in </w:t>
      </w:r>
      <w:r w:rsidR="00ED1DBF">
        <w:rPr>
          <w:color w:val="000000"/>
          <w:shd w:val="clear" w:color="auto" w:fill="FFFFFF"/>
        </w:rPr>
        <w:t xml:space="preserve">decreasing the severity of swallowing difficulty following anterior cervical fusion surgery. More specifically, our study was designed to address some of the limitations observed </w:t>
      </w:r>
      <w:r w:rsidR="00387C16">
        <w:rPr>
          <w:color w:val="000000"/>
          <w:shd w:val="clear" w:color="auto" w:fill="FFFFFF"/>
        </w:rPr>
        <w:t>in</w:t>
      </w:r>
      <w:r w:rsidR="00880E4F">
        <w:rPr>
          <w:color w:val="000000"/>
          <w:shd w:val="clear" w:color="auto" w:fill="FFFFFF"/>
        </w:rPr>
        <w:t xml:space="preserve"> </w:t>
      </w:r>
      <w:r w:rsidR="00ED1DBF">
        <w:rPr>
          <w:color w:val="000000"/>
          <w:shd w:val="clear" w:color="auto" w:fill="FFFFFF"/>
        </w:rPr>
        <w:t>existing studies. As such, we designed a prospective double blind randomized trial</w:t>
      </w:r>
      <w:r w:rsidR="009A6BC5">
        <w:rPr>
          <w:color w:val="000000"/>
          <w:shd w:val="clear" w:color="auto" w:fill="FFFFFF"/>
        </w:rPr>
        <w:t xml:space="preserve"> of </w:t>
      </w:r>
      <w:r w:rsidR="00ED1DBF">
        <w:rPr>
          <w:color w:val="000000"/>
          <w:shd w:val="clear" w:color="auto" w:fill="FFFFFF"/>
        </w:rPr>
        <w:t xml:space="preserve">multi-level ACDF surgery, and quantified </w:t>
      </w:r>
      <w:r w:rsidR="004100FE">
        <w:rPr>
          <w:color w:val="000000"/>
          <w:shd w:val="clear" w:color="auto" w:fill="FFFFFF"/>
        </w:rPr>
        <w:t xml:space="preserve">the </w:t>
      </w:r>
      <w:r w:rsidR="00ED1DBF">
        <w:rPr>
          <w:color w:val="000000"/>
          <w:shd w:val="clear" w:color="auto" w:fill="FFFFFF"/>
        </w:rPr>
        <w:t xml:space="preserve">post-operative </w:t>
      </w:r>
      <w:r w:rsidR="00880E4F">
        <w:rPr>
          <w:color w:val="000000"/>
          <w:shd w:val="clear" w:color="auto" w:fill="FFFFFF"/>
        </w:rPr>
        <w:t xml:space="preserve">dysphagia </w:t>
      </w:r>
      <w:r w:rsidR="00ED1DBF">
        <w:rPr>
          <w:color w:val="000000"/>
          <w:shd w:val="clear" w:color="auto" w:fill="FFFFFF"/>
        </w:rPr>
        <w:t>using</w:t>
      </w:r>
      <w:r>
        <w:rPr>
          <w:color w:val="000000"/>
          <w:shd w:val="clear" w:color="auto" w:fill="FFFFFF"/>
        </w:rPr>
        <w:t xml:space="preserve"> two</w:t>
      </w:r>
      <w:r w:rsidR="00ED1DBF">
        <w:rPr>
          <w:color w:val="000000"/>
          <w:shd w:val="clear" w:color="auto" w:fill="FFFFFF"/>
        </w:rPr>
        <w:t xml:space="preserve"> validated questionnaires</w:t>
      </w:r>
      <w:r w:rsidR="004100FE">
        <w:rPr>
          <w:color w:val="000000"/>
          <w:shd w:val="clear" w:color="auto" w:fill="FFFFFF"/>
        </w:rPr>
        <w:t>,</w:t>
      </w:r>
      <w:r>
        <w:rPr>
          <w:color w:val="000000"/>
          <w:shd w:val="clear" w:color="auto" w:fill="FFFFFF"/>
        </w:rPr>
        <w:t xml:space="preserve"> SWAL-QOL </w:t>
      </w:r>
      <w:r w:rsidR="001A0F0E">
        <w:rPr>
          <w:color w:val="000000"/>
          <w:shd w:val="clear" w:color="auto" w:fill="FFFFFF"/>
        </w:rPr>
        <w:fldChar w:fldCharType="begin" w:fldLock="1"/>
      </w:r>
      <w:r w:rsidR="001A0F0E">
        <w:rPr>
          <w:color w:val="000000"/>
          <w:shd w:val="clear" w:color="auto" w:fill="FFFFFF"/>
        </w:rPr>
        <w:instrText>ADDIN CSL_CITATION { "citationItems" : [ { "id" : "ITEM-1", "itemData" : { "DOI" : "10.1007/s004550010012", "author" : [ { "dropping-particle" : "", "family" : "Mchorney", "given" : "Colleen A", "non-dropping-particle" : "", "parse-names" : false, "suffix" : "" }, { "dropping-particle" : "", "family" : "Bricker", "given" : "D Earl", "non-dropping-particle" : "", "parse-names" : false, "suffix" : "" }, { "dropping-particle" : "", "family" : "Kramer", "given" : "Amy E", "non-dropping-particle" : "", "parse-names" : false, "suffix" : "" }, { "dropping-particle" : "", "family" : "Rosenbek", "given" : "John C", "non-dropping-particle" : "", "parse-names" : false, "suffix" : "" }, { "dropping-particle" : "", "family" : "Robbins", "given" : "Joanne", "non-dropping-particle" : "", "parse-names" : false, "suffix" : "" }, { "dropping-particle" : "", "family" : "Chignell", "given" : "Kimberly A", "non-dropping-particle" : "", "parse-names" : false, "suffix" : "" }, { "dropping-particle" : "", "family" : "Logemann", "given" : "Jeri A", "non-dropping-particle" : "", "parse-names" : false, "suffix" : "" }, { "dropping-particle" : "", "family" : "Clarke", "given" : "Colleen", "non-dropping-particle" : "", "parse-names" : false, "suffix" : "" } ], "id" : "ITEM-1", "issued" : { "date-parts" : [ [ "2000" ] ] }, "page" : "115-121", "title" : "The SWAL-QOL Outcomes Tool for Oropharyngeal Dysphagia in Adults : I . Conceptual Foundation and Item Development", "type" : "article-journal", "volume" : "121" }, "uris" : [ "http://www.mendeley.com/documents/?uuid=a0c867e4-af18-4f23-be75-ffbd7b1e6f78" ] } ], "mendeley" : { "formattedCitation" : "[24]", "plainTextFormattedCitation" : "[24]", "previouslyFormattedCitation" : "[24]" }, "properties" : { "noteIndex" : 0 }, "schema" : "https://github.com/citation-style-language/schema/raw/master/csl-citation.json" }</w:instrText>
      </w:r>
      <w:r w:rsidR="001A0F0E">
        <w:rPr>
          <w:color w:val="000000"/>
          <w:shd w:val="clear" w:color="auto" w:fill="FFFFFF"/>
        </w:rPr>
        <w:fldChar w:fldCharType="separate"/>
      </w:r>
      <w:r w:rsidR="001A0F0E" w:rsidRPr="001A0F0E">
        <w:rPr>
          <w:noProof/>
          <w:color w:val="000000"/>
          <w:shd w:val="clear" w:color="auto" w:fill="FFFFFF"/>
        </w:rPr>
        <w:t>[24]</w:t>
      </w:r>
      <w:r w:rsidR="001A0F0E">
        <w:rPr>
          <w:color w:val="000000"/>
          <w:shd w:val="clear" w:color="auto" w:fill="FFFFFF"/>
        </w:rPr>
        <w:fldChar w:fldCharType="end"/>
      </w:r>
      <w:r w:rsidR="00ED1DBF">
        <w:rPr>
          <w:color w:val="000000"/>
          <w:shd w:val="clear" w:color="auto" w:fill="FFFFFF"/>
        </w:rPr>
        <w:t xml:space="preserve"> </w:t>
      </w:r>
      <w:r>
        <w:rPr>
          <w:color w:val="000000"/>
          <w:shd w:val="clear" w:color="auto" w:fill="FFFFFF"/>
        </w:rPr>
        <w:t xml:space="preserve">and </w:t>
      </w:r>
      <w:r w:rsidR="00ED1DBF">
        <w:rPr>
          <w:color w:val="000000"/>
          <w:shd w:val="clear" w:color="auto" w:fill="FFFFFF"/>
        </w:rPr>
        <w:t xml:space="preserve"> EAT-10 </w:t>
      </w:r>
      <w:r w:rsidR="001A0F0E" w:rsidRPr="002A4E69">
        <w:rPr>
          <w:color w:val="000000"/>
          <w:shd w:val="clear" w:color="auto" w:fill="FFFFFF"/>
        </w:rPr>
        <w:fldChar w:fldCharType="begin" w:fldLock="1"/>
      </w:r>
      <w:r w:rsidR="00614ACB" w:rsidRPr="002A4E69">
        <w:rPr>
          <w:color w:val="000000"/>
          <w:shd w:val="clear" w:color="auto" w:fill="FFFFFF"/>
        </w:rPr>
        <w:instrText>ADDIN CSL_CITATION { "citationItems" : [ { "id" : "ITEM-1", "itemData" : { "author" : [ { "dropping-particle" : "", "family" : "Rosenthal", "given" : "Brett D", "non-dropping-particle" : "", "parse-names" : false, "suffix" : "" }, { "dropping-particle" : "", "family" : "Nair", "given" : "Rueben", "non-dropping-particle" : "", "parse-names" : false, "suffix" : "" }, { "dropping-particle" : "", "family" : "Hsu", "given" : "Wellington K", "non-dropping-particle" : "", "parse-names" : false, "suffix" : "" }, { "dropping-particle" : "", "family" : "Patel", "given" : "Alpesh A", "non-dropping-particle" : "", "parse-names" : false, "suffix" : "" }, { "dropping-particle" : "", "family" : "Savage", "given" : "Jason W", "non-dropping-particle" : "", "parse-names" : false, "suffix" : "" } ], "id" : "ITEM-1", "issue" : "9", "issued" : { "date-parts" : [ [ "2016" ] ] }, "page" : "363-367", "title" : "Dysphagia and Dysphonia Assessment Tools After Anterior Cervical Spine Surgery", "type" : "article-journal", "volume" : "29" }, "uris" : [ "http://www.mendeley.com/documents/?uuid=67e2fdf9-7b71-4155-a1ee-473147012fb1" ] }, { "id" : "ITEM-2", "itemData" : { "DOI" : "10.1177/000348940811701210", "ISSN" : "0003-4894", "PMID" : "19140539", "abstract" : "OBJECTIVES The Eating Assessment Tool is a self-administered, symptom-specific outcome instrument for dysphagia. The purpose of this study was to assess the validity and reliability of the 10-item Eating Assessment Tool (EAT-10). METHODS The investigation consisted of 4 phases: 1) line-item generation, 2) line-item reduction and reliability, 3) normative data generation, and 4) validity analysis. All data were collected prospectively. Internal consistency was assessed with the Cronbach alpha. Test-retest reliability was evaluated with the Pearson product moment correlation coefficient. Normative data were obtained by administering the instrument to a community cohort of healthy volunteers. Validity was assessed by administering the instrument before and after dysphagia treatment and by evaluating survey differences between normal persons and those with known diagnoses. RESULTS A total of 629 surveys were administered to 482 patients. The internal consistency (Cronbach alpha) of the final instrument was 0.960. The test-retest intra-item correlation coefficients ranged from 0.72 to 0.91. The mean (+/- SD) EAT-10 score of the normal cohort was 0.40 +/- 1.01. The mean EAT-10 score was 23.58 +/- 13.18 for patients with esophageal dysphagia, 23.10 +/- 12.22 for those with oropharyngeal dysphagia, 9.19 +/- 12.60 for those with voice disorders, 22.42 +/- 14.06 for those with head and neck cancer, and 11.71 +/- 9.61 for those with reflux. The patients with oropharyngeal and esophageal dysphagia and a history of head and neck cancer had a significantly higher EAT-10 score than did those with reflux or voice disorders (p &lt;0.001). The mean EAT-10 score of the patients with dysphagia improved from 19.87 +/- 10.5 to 5.2 +/- 7.4 after treatment (p &lt;0.001). CONCLUSIONS The EAT-10 has displayed excellent internal consistency, test-retest reproducibility, and criterion-based validity. The normative data suggest that an EAT-10 score of 3 or higher is abnormal. The instrument may be utilized to document the initial dysphagia severity and monitor the treatment response in persons with a wide array of swallowing disorders.", "author" : [ { "dropping-particle" : "", "family" : "Belafsky", "given" : "Peter C.", "non-dropping-particle" : "", "parse-names" : false, "suffix" : "" }, { "dropping-particle" : "", "family" : "Mouadeb", "given" : "Debbie A.", "non-dropping-particle" : "", "parse-names" : false, "suffix" : "" }, { "dropping-particle" : "", "family" : "Rees", "given" : "Catherine J.", "non-dropping-particle" : "", "parse-names" : false, "suffix" : "" }, { "dropping-particle" : "", "family" : "Pryor", "given" : "Jan C.", "non-dropping-particle" : "", "parse-names" : false, "suffix" : "" }, { "dropping-particle" : "", "family" : "Postma", "given" : "Gregory N.", "non-dropping-particle" : "", "parse-names" : false, "suffix" : "" }, { "dropping-particle" : "", "family" : "Allen", "given" : "Jacqueline", "non-dropping-particle" : "", "parse-names" : false, "suffix" : "" }, { "dropping-particle" : "", "family" : "Leonard", "given" : "Rebecca J.", "non-dropping-particle" : "", "parse-names" : false, "suffix" : "" } ], "container-title" : "Annals of Otology, Rhinology &amp; Laryngology", "id" : "ITEM-2", "issue" : "12", "issued" : { "date-parts" : [ [ "2008", "12" ] ] }, "page" : "919-924", "title" : "Validity and Reliability of the Eating Assessment Tool (EAT-10)", "type" : "article-journal", "volume" : "117" }, "uris" : [ "http://www.mendeley.com/documents/?uuid=45b9c46b-1bc8-3f9a-a9a9-490b047f0ae6" ] }, { "id" : "ITEM-3", "itemData" : { "DOI" : "10.1111/nmo.12382", "ISSN" : "13501925", "PMID" : "24909661", "abstract" : "BACKGROUND Oropharyngeal dysphagia (OD) is an underdiagnosed digestive disorder that causes severe nutritional and respiratory complications. Our aim was to determine the accuracy of the Eating Assessment Tool (EAT-10) and the Volume-Viscosity Swallow Test (V-VST) for clinical evaluation of OD. METHODS We studied 120 patients with swallowing difficulties and 14 healthy subjects. OD was evaluated by the 10-item screening questionnaire EAT-10 and the bedside method V-VST, videofluoroscopy (VFS) being the reference standard. The V-VST is an effort test that uses boluses of different volumes and viscosities to identify clinical signs of impaired efficacy (impaired labial seal, piecemeal deglutition, and residue) and impaired safety of swallow (cough, voice changes, and oxygen desaturation \u22653%). Discriminating ability was assessed by the AUC of the ROC curve and sensitivity and specificity values. KEY RESULTS According to VFS, prevalence of OD was 87%, 75.6% with impaired efficacy and 80.9% with impaired safety of swallow including 17.6% aspirations. The EAT-10 showed a ROC AUC of 0.89 for OD with an optimal cut-off at 2 (0.89 sensitivity and 0.82 specificity). The V-VST showed 0.94 sensitivity and 0.88 specificity for OD, 0.79 sensitivity and 0.75 specificity for impaired efficacy, 0.87 sensitivity and 0.81 specificity for impaired safety, and 0.91 sensitivity and 0.28 specificity for aspirations. CONCLUSIONS &amp; INFERENCES Clinical methods for screening (EAT-10) and assessment (V-VST) of OD offer excellent psychometric proprieties that allow adequate management of OD. Their universal application among at-risk populations will improve the identification of patients with OD at risk for malnutrition and aspiration pneumonia.", "author" : [ { "dropping-particle" : "", "family" : "Rofes", "given" : "L.", "non-dropping-particle" : "", "parse-names" : false, "suffix" : "" }, { "dropping-particle" : "", "family" : "Arreola", "given" : "V.", "non-dropping-particle" : "", "parse-names" : false, "suffix" : "" }, { "dropping-particle" : "", "family" : "Mukherjee", "given" : "R.", "non-dropping-particle" : "", "parse-names" : false, "suffix" : "" }, { "dropping-particle" : "", "family" : "Clav?", "given" : "P.", "non-dropping-particle" : "", "parse-names" : false, "suffix" : "" } ], "container-title" : "Neurogastroenterology &amp; Motility", "id" : "ITEM-3", "issue" : "9", "issued" : { "date-parts" : [ [ "2014", "9" ] ] }, "page" : "1256-1265", "title" : "Sensitivity and specificity of the Eating Assessment Tool and the Volume-Viscosity Swallow Test for clinical evaluation of oropharyngeal dysphagia", "type" : "article-journal", "volume" : "26" }, "uris" : [ "http://www.mendeley.com/documents/?uuid=adf525c6-48d4-3cb1-979e-36e8e02c93fc" ] } ], "mendeley" : { "formattedCitation" : "[7,25,26]", "plainTextFormattedCitation" : "[7,25,26]", "previouslyFormattedCitation" : "[7,25,26]" }, "properties" : { "noteIndex" : 0 }, "schema" : "https://github.com/citation-style-language/schema/raw/master/csl-citation.json" }</w:instrText>
      </w:r>
      <w:r w:rsidR="001A0F0E" w:rsidRPr="002A4E69">
        <w:rPr>
          <w:color w:val="000000"/>
          <w:shd w:val="clear" w:color="auto" w:fill="FFFFFF"/>
        </w:rPr>
        <w:fldChar w:fldCharType="separate"/>
      </w:r>
      <w:r w:rsidR="001A0F0E" w:rsidRPr="002A4E69">
        <w:rPr>
          <w:noProof/>
          <w:color w:val="000000"/>
          <w:shd w:val="clear" w:color="auto" w:fill="FFFFFF"/>
        </w:rPr>
        <w:t>[7,25,26]</w:t>
      </w:r>
      <w:r w:rsidR="001A0F0E" w:rsidRPr="002A4E69">
        <w:rPr>
          <w:color w:val="000000"/>
          <w:shd w:val="clear" w:color="auto" w:fill="FFFFFF"/>
        </w:rPr>
        <w:fldChar w:fldCharType="end"/>
      </w:r>
      <w:r w:rsidR="00ED1DBF" w:rsidRPr="002A4E69">
        <w:rPr>
          <w:color w:val="000000"/>
          <w:shd w:val="clear" w:color="auto" w:fill="FFFFFF"/>
        </w:rPr>
        <w:t>,</w:t>
      </w:r>
      <w:r w:rsidRPr="002A4E69">
        <w:rPr>
          <w:color w:val="000000"/>
          <w:shd w:val="clear" w:color="auto" w:fill="FFFFFF"/>
        </w:rPr>
        <w:t>and the Bazaz dysphagia measure</w:t>
      </w:r>
      <w:r w:rsidR="00ED1DBF" w:rsidRPr="002A4E69">
        <w:rPr>
          <w:shd w:val="clear" w:color="auto" w:fill="FFFFFF"/>
        </w:rPr>
        <w:t>.</w:t>
      </w:r>
    </w:p>
    <w:p w14:paraId="0D62985B" w14:textId="7D38F86A" w:rsidR="009A6BC5" w:rsidRPr="00392DD7" w:rsidRDefault="009A6BC5" w:rsidP="009A6BC5">
      <w:pPr>
        <w:rPr>
          <w:shd w:val="clear" w:color="auto" w:fill="FFFFFF"/>
        </w:rPr>
      </w:pPr>
      <w:r w:rsidRPr="00392DD7">
        <w:rPr>
          <w:shd w:val="clear" w:color="auto" w:fill="FFFFFF"/>
        </w:rPr>
        <w:t xml:space="preserve">The outcomes included in this manuscript are the results </w:t>
      </w:r>
      <w:r w:rsidR="006465AD">
        <w:rPr>
          <w:shd w:val="clear" w:color="auto" w:fill="FFFFFF"/>
        </w:rPr>
        <w:t>from</w:t>
      </w:r>
      <w:r w:rsidRPr="00392DD7">
        <w:rPr>
          <w:shd w:val="clear" w:color="auto" w:fill="FFFFFF"/>
        </w:rPr>
        <w:t xml:space="preserve"> an early and interim analysis of our prospective double blinded RCT. Pre-operatively the steroid and control arms differed significantly in terms of average neck &amp; right arm </w:t>
      </w:r>
      <w:r w:rsidR="003A2408" w:rsidRPr="00392DD7">
        <w:rPr>
          <w:shd w:val="clear" w:color="auto" w:fill="FFFFFF"/>
        </w:rPr>
        <w:t xml:space="preserve">VAS </w:t>
      </w:r>
      <w:r w:rsidRPr="00392DD7">
        <w:rPr>
          <w:shd w:val="clear" w:color="auto" w:fill="FFFFFF"/>
        </w:rPr>
        <w:t xml:space="preserve">pain, and BMI, but </w:t>
      </w:r>
      <w:r w:rsidR="003A2408" w:rsidRPr="00392DD7">
        <w:rPr>
          <w:shd w:val="clear" w:color="auto" w:fill="FFFFFF"/>
        </w:rPr>
        <w:t>n</w:t>
      </w:r>
      <w:r w:rsidRPr="00392DD7">
        <w:rPr>
          <w:shd w:val="clear" w:color="auto" w:fill="FFFFFF"/>
        </w:rPr>
        <w:t xml:space="preserve">o significant differences were identified in terms of pre-operative swallowing function and baseline demographic characteristics. The only surgical factor found to be significantly different between the two arms was </w:t>
      </w:r>
      <w:r w:rsidR="003A2408" w:rsidRPr="00392DD7">
        <w:rPr>
          <w:shd w:val="clear" w:color="auto" w:fill="FFFFFF"/>
        </w:rPr>
        <w:t>the OR</w:t>
      </w:r>
      <w:r w:rsidRPr="00392DD7">
        <w:rPr>
          <w:shd w:val="clear" w:color="auto" w:fill="FFFFFF"/>
        </w:rPr>
        <w:t xml:space="preserve"> time for the entire cohort. However </w:t>
      </w:r>
      <w:r w:rsidR="003A2408" w:rsidRPr="00392DD7">
        <w:rPr>
          <w:shd w:val="clear" w:color="auto" w:fill="FFFFFF"/>
        </w:rPr>
        <w:t>OR</w:t>
      </w:r>
      <w:r w:rsidRPr="00392DD7">
        <w:rPr>
          <w:shd w:val="clear" w:color="auto" w:fill="FFFFFF"/>
        </w:rPr>
        <w:t xml:space="preserve"> time of the 2, 3, and 4 level procedures were found to be similar. Finally with the exception of the intermittent axial pain in the control group, no significant differences in secondary outcomes were observed.</w:t>
      </w:r>
    </w:p>
    <w:p w14:paraId="0B3E0CFD" w14:textId="77777777" w:rsidR="009A6BC5" w:rsidRPr="00392DD7" w:rsidRDefault="009A6BC5" w:rsidP="00392DD7">
      <w:pPr>
        <w:pStyle w:val="Heading3"/>
        <w:rPr>
          <w:shd w:val="clear" w:color="auto" w:fill="FFFFFF"/>
        </w:rPr>
      </w:pPr>
      <w:r w:rsidRPr="00392DD7">
        <w:rPr>
          <w:shd w:val="clear" w:color="auto" w:fill="FFFFFF"/>
        </w:rPr>
        <w:t>Dysphagia:</w:t>
      </w:r>
    </w:p>
    <w:p w14:paraId="1A7B97D4" w14:textId="6C9C1B1B" w:rsidR="009A6BC5" w:rsidRPr="00392DD7" w:rsidRDefault="009A6BC5" w:rsidP="009A6BC5">
      <w:pPr>
        <w:rPr>
          <w:shd w:val="clear" w:color="auto" w:fill="FFFFFF"/>
        </w:rPr>
      </w:pPr>
      <w:r w:rsidRPr="00392DD7">
        <w:rPr>
          <w:shd w:val="clear" w:color="auto" w:fill="FFFFFF"/>
        </w:rPr>
        <w:lastRenderedPageBreak/>
        <w:t xml:space="preserve">As demonstrated by the significant differences in two of the three dysphagia specific outcomes, patients who received local intraoperative steroids experienced dysphagia to a lesser degree during the immediate </w:t>
      </w:r>
      <w:proofErr w:type="spellStart"/>
      <w:r w:rsidRPr="00392DD7">
        <w:rPr>
          <w:shd w:val="clear" w:color="auto" w:fill="FFFFFF"/>
        </w:rPr>
        <w:t>peri</w:t>
      </w:r>
      <w:proofErr w:type="spellEnd"/>
      <w:r w:rsidRPr="00392DD7">
        <w:rPr>
          <w:shd w:val="clear" w:color="auto" w:fill="FFFFFF"/>
        </w:rPr>
        <w:t xml:space="preserve">-operative and early post-operative time period. </w:t>
      </w:r>
    </w:p>
    <w:p w14:paraId="127C5F68" w14:textId="77777777" w:rsidR="009A6BC5" w:rsidRPr="00392DD7" w:rsidRDefault="009A6BC5" w:rsidP="00392DD7">
      <w:pPr>
        <w:pStyle w:val="Heading3"/>
        <w:rPr>
          <w:shd w:val="clear" w:color="auto" w:fill="FFFFFF"/>
        </w:rPr>
      </w:pPr>
      <w:r w:rsidRPr="00392DD7">
        <w:rPr>
          <w:shd w:val="clear" w:color="auto" w:fill="FFFFFF"/>
        </w:rPr>
        <w:t>SWAL-QOL</w:t>
      </w:r>
    </w:p>
    <w:p w14:paraId="19151D4E" w14:textId="26241ADE" w:rsidR="009A6BC5" w:rsidRPr="00392DD7" w:rsidRDefault="003A2408" w:rsidP="00392DD7">
      <w:pPr>
        <w:rPr>
          <w:shd w:val="clear" w:color="auto" w:fill="FFFFFF"/>
        </w:rPr>
      </w:pPr>
      <w:r w:rsidRPr="00392DD7">
        <w:rPr>
          <w:shd w:val="clear" w:color="auto" w:fill="FFFFFF"/>
        </w:rPr>
        <w:t xml:space="preserve">As illustrated by the significant differences in SWAL-QOL domains, patients randomized to the Control arm do not perform as well as the Steroid Arm in the early </w:t>
      </w:r>
      <w:r w:rsidR="009A6BC5" w:rsidRPr="00392DD7">
        <w:rPr>
          <w:shd w:val="clear" w:color="auto" w:fill="FFFFFF"/>
        </w:rPr>
        <w:t>perioperative time period</w:t>
      </w:r>
      <w:r w:rsidRPr="00392DD7">
        <w:rPr>
          <w:shd w:val="clear" w:color="auto" w:fill="FFFFFF"/>
        </w:rPr>
        <w:t xml:space="preserve">. This </w:t>
      </w:r>
      <w:r w:rsidR="009A6BC5" w:rsidRPr="00392DD7">
        <w:rPr>
          <w:shd w:val="clear" w:color="auto" w:fill="FFFFFF"/>
        </w:rPr>
        <w:t>subjective assessment and experience of swallowing add</w:t>
      </w:r>
      <w:r w:rsidR="006465AD">
        <w:rPr>
          <w:shd w:val="clear" w:color="auto" w:fill="FFFFFF"/>
        </w:rPr>
        <w:t>ed</w:t>
      </w:r>
      <w:r w:rsidR="009A6BC5" w:rsidRPr="00392DD7">
        <w:rPr>
          <w:shd w:val="clear" w:color="auto" w:fill="FFFFFF"/>
        </w:rPr>
        <w:t xml:space="preserve"> to the overall burden of the post-operative recovery during their hospital stay. </w:t>
      </w:r>
      <w:r w:rsidRPr="00392DD7">
        <w:rPr>
          <w:shd w:val="clear" w:color="auto" w:fill="FFFFFF"/>
        </w:rPr>
        <w:t>Compared to baseline, at 1 Month, the control arm also exhibit</w:t>
      </w:r>
      <w:r w:rsidR="00392DD7" w:rsidRPr="00392DD7">
        <w:rPr>
          <w:shd w:val="clear" w:color="auto" w:fill="FFFFFF"/>
        </w:rPr>
        <w:t>ed</w:t>
      </w:r>
      <w:r w:rsidRPr="00392DD7">
        <w:rPr>
          <w:shd w:val="clear" w:color="auto" w:fill="FFFFFF"/>
        </w:rPr>
        <w:t xml:space="preserve"> a deficit in the SWAL-QOL Fear domain</w:t>
      </w:r>
      <w:r w:rsidR="00392DD7" w:rsidRPr="00392DD7">
        <w:rPr>
          <w:shd w:val="clear" w:color="auto" w:fill="FFFFFF"/>
        </w:rPr>
        <w:t>, meaning that these patients are worried about choking</w:t>
      </w:r>
      <w:r w:rsidR="009A6BC5" w:rsidRPr="00392DD7">
        <w:rPr>
          <w:shd w:val="clear" w:color="auto" w:fill="FFFFFF"/>
        </w:rPr>
        <w:t xml:space="preserve"> on food/liquids to somewhat of a greater extent </w:t>
      </w:r>
      <w:r w:rsidR="00392DD7" w:rsidRPr="00392DD7">
        <w:rPr>
          <w:shd w:val="clear" w:color="auto" w:fill="FFFFFF"/>
        </w:rPr>
        <w:t>than the Steroid arm.</w:t>
      </w:r>
      <w:r w:rsidR="009A6BC5" w:rsidRPr="00392DD7">
        <w:rPr>
          <w:shd w:val="clear" w:color="auto" w:fill="FFFFFF"/>
        </w:rPr>
        <w:t xml:space="preserve"> Furthermore</w:t>
      </w:r>
      <w:r w:rsidR="00392DD7" w:rsidRPr="00392DD7">
        <w:rPr>
          <w:shd w:val="clear" w:color="auto" w:fill="FFFFFF"/>
        </w:rPr>
        <w:t>, as demonstrated by the differences in the SWAL-Q</w:t>
      </w:r>
      <w:r w:rsidR="006465AD">
        <w:rPr>
          <w:shd w:val="clear" w:color="auto" w:fill="FFFFFF"/>
        </w:rPr>
        <w:t>O</w:t>
      </w:r>
      <w:r w:rsidR="00392DD7" w:rsidRPr="00392DD7">
        <w:rPr>
          <w:shd w:val="clear" w:color="auto" w:fill="FFFFFF"/>
        </w:rPr>
        <w:t xml:space="preserve">L Eating duration, </w:t>
      </w:r>
      <w:r w:rsidR="009A6BC5" w:rsidRPr="00392DD7">
        <w:rPr>
          <w:shd w:val="clear" w:color="auto" w:fill="FFFFFF"/>
        </w:rPr>
        <w:t>their impeded ability to swallow/ impairment of their swallowing function has caused them to eat at a slightly slower rate</w:t>
      </w:r>
      <w:r w:rsidR="006465AD">
        <w:rPr>
          <w:shd w:val="clear" w:color="auto" w:fill="FFFFFF"/>
        </w:rPr>
        <w:t>.</w:t>
      </w:r>
    </w:p>
    <w:p w14:paraId="5A11EE3C" w14:textId="77777777" w:rsidR="009A6BC5" w:rsidRPr="00392DD7" w:rsidRDefault="009A6BC5" w:rsidP="00392DD7">
      <w:pPr>
        <w:pStyle w:val="Heading3"/>
        <w:rPr>
          <w:shd w:val="clear" w:color="auto" w:fill="FFFFFF"/>
        </w:rPr>
      </w:pPr>
      <w:r w:rsidRPr="00392DD7">
        <w:rPr>
          <w:shd w:val="clear" w:color="auto" w:fill="FFFFFF"/>
        </w:rPr>
        <w:t>Eat-10:</w:t>
      </w:r>
    </w:p>
    <w:p w14:paraId="7CED56C6" w14:textId="5FA73C56" w:rsidR="009A6BC5" w:rsidRPr="00392DD7" w:rsidRDefault="009A6BC5" w:rsidP="009A6BC5">
      <w:pPr>
        <w:rPr>
          <w:shd w:val="clear" w:color="auto" w:fill="FFFFFF"/>
        </w:rPr>
      </w:pPr>
      <w:r w:rsidRPr="00392DD7">
        <w:rPr>
          <w:shd w:val="clear" w:color="auto" w:fill="FFFFFF"/>
        </w:rPr>
        <w:t xml:space="preserve">The observed difference in Eat-10 and Modified Eat-10 questionnaire </w:t>
      </w:r>
      <w:r w:rsidR="00392DD7" w:rsidRPr="00392DD7">
        <w:rPr>
          <w:shd w:val="clear" w:color="auto" w:fill="FFFFFF"/>
        </w:rPr>
        <w:t>on POD1</w:t>
      </w:r>
      <w:r w:rsidRPr="00392DD7">
        <w:rPr>
          <w:shd w:val="clear" w:color="auto" w:fill="FFFFFF"/>
        </w:rPr>
        <w:t xml:space="preserve"> indicates that the swallowing function of patients in the control group is significantly impaired compared to the steroid group. </w:t>
      </w:r>
    </w:p>
    <w:p w14:paraId="3826E81C" w14:textId="1BF33298" w:rsidR="009A6BC5" w:rsidRPr="00392DD7" w:rsidRDefault="009A6BC5" w:rsidP="009A6BC5">
      <w:pPr>
        <w:rPr>
          <w:shd w:val="clear" w:color="auto" w:fill="FFFFFF"/>
        </w:rPr>
      </w:pPr>
      <w:r w:rsidRPr="00392DD7">
        <w:rPr>
          <w:shd w:val="clear" w:color="auto" w:fill="FFFFFF"/>
        </w:rPr>
        <w:t>At 1 Month the total Eat-10 score in the control group is significantly higher than that of the steroid group. The median score of 5, which is over the threshold set for problematic swallowing (3)</w:t>
      </w:r>
      <w:r w:rsidR="00614ACB">
        <w:rPr>
          <w:shd w:val="clear" w:color="auto" w:fill="FFFFFF"/>
        </w:rPr>
        <w:fldChar w:fldCharType="begin" w:fldLock="1"/>
      </w:r>
      <w:r w:rsidR="00614ACB">
        <w:rPr>
          <w:shd w:val="clear" w:color="auto" w:fill="FFFFFF"/>
        </w:rPr>
        <w:instrText>ADDIN CSL_CITATION { "citationItems" : [ { "id" : "ITEM-1", "itemData" : { "DOI" : "10.1177/000348940811701210", "ISSN" : "0003-4894", "PMID" : "19140539", "abstract" : "OBJECTIVES The Eating Assessment Tool is a self-administered, symptom-specific outcome instrument for dysphagia. The purpose of this study was to assess the validity and reliability of the 10-item Eating Assessment Tool (EAT-10). METHODS The investigation consisted of 4 phases: 1) line-item generation, 2) line-item reduction and reliability, 3) normative data generation, and 4) validity analysis. All data were collected prospectively. Internal consistency was assessed with the Cronbach alpha. Test-retest reliability was evaluated with the Pearson product moment correlation coefficient. Normative data were obtained by administering the instrument to a community cohort of healthy volunteers. Validity was assessed by administering the instrument before and after dysphagia treatment and by evaluating survey differences between normal persons and those with known diagnoses. RESULTS A total of 629 surveys were administered to 482 patients. The internal consistency (Cronbach alpha) of the final instrument was 0.960. The test-retest intra-item correlation coefficients ranged from 0.72 to 0.91. The mean (+/- SD) EAT-10 score of the normal cohort was 0.40 +/- 1.01. The mean EAT-10 score was 23.58 +/- 13.18 for patients with esophageal dysphagia, 23.10 +/- 12.22 for those with oropharyngeal dysphagia, 9.19 +/- 12.60 for those with voice disorders, 22.42 +/- 14.06 for those with head and neck cancer, and 11.71 +/- 9.61 for those with reflux. The patients with oropharyngeal and esophageal dysphagia and a history of head and neck cancer had a significantly higher EAT-10 score than did those with reflux or voice disorders (p &lt;0.001). The mean EAT-10 score of the patients with dysphagia improved from 19.87 +/- 10.5 to 5.2 +/- 7.4 after treatment (p &lt;0.001). CONCLUSIONS The EAT-10 has displayed excellent internal consistency, test-retest reproducibility, and criterion-based validity. The normative data suggest that an EAT-10 score of 3 or higher is abnormal. The instrument may be utilized to document the initial dysphagia severity and monitor the treatment response in persons with a wide array of swallowing disorders.", "author" : [ { "dropping-particle" : "", "family" : "Belafsky", "given" : "Peter C.", "non-dropping-particle" : "", "parse-names" : false, "suffix" : "" }, { "dropping-particle" : "", "family" : "Mouadeb", "given" : "Debbie A.", "non-dropping-particle" : "", "parse-names" : false, "suffix" : "" }, { "dropping-particle" : "", "family" : "Rees", "given" : "Catherine J.", "non-dropping-particle" : "", "parse-names" : false, "suffix" : "" }, { "dropping-particle" : "", "family" : "Pryor", "given" : "Jan C.", "non-dropping-particle" : "", "parse-names" : false, "suffix" : "" }, { "dropping-particle" : "", "family" : "Postma", "given" : "Gregory N.", "non-dropping-particle" : "", "parse-names" : false, "suffix" : "" }, { "dropping-particle" : "", "family" : "Allen", "given" : "Jacqueline", "non-dropping-particle" : "", "parse-names" : false, "suffix" : "" }, { "dropping-particle" : "", "family" : "Leonard", "given" : "Rebecca J.", "non-dropping-particle" : "", "parse-names" : false, "suffix" : "" } ], "container-title" : "Annals of Otology, Rhinology &amp; Laryngology", "id" : "ITEM-1", "issue" : "12", "issued" : { "date-parts" : [ [ "2008", "12" ] ] }, "page" : "919-924", "title" : "Validity and Reliability of the Eating Assessment Tool (EAT-10)", "type" : "article-journal", "volume" : "117" }, "uris" : [ "http://www.mendeley.com/documents/?uuid=45b9c46b-1bc8-3f9a-a9a9-490b047f0ae6" ] }, { "id" : "ITEM-2", "itemData" : { "DOI" : "10.1111/nmo.12382", "ISSN" : "13501925", "PMID" : "24909661", "abstract" : "BACKGROUND Oropharyngeal dysphagia (OD) is an underdiagnosed digestive disorder that causes severe nutritional and respiratory complications. Our aim was to determine the accuracy of the Eating Assessment Tool (EAT-10) and the Volume-Viscosity Swallow Test (V-VST) for clinical evaluation of OD. METHODS We studied 120 patients with swallowing difficulties and 14 healthy subjects. OD was evaluated by the 10-item screening questionnaire EAT-10 and the bedside method V-VST, videofluoroscopy (VFS) being the reference standard. The V-VST is an effort test that uses boluses of different volumes and viscosities to identify clinical signs of impaired efficacy (impaired labial seal, piecemeal deglutition, and residue) and impaired safety of swallow (cough, voice changes, and oxygen desaturation \u22653%). Discriminating ability was assessed by the AUC of the ROC curve and sensitivity and specificity values. KEY RESULTS According to VFS, prevalence of OD was 87%, 75.6% with impaired efficacy and 80.9% with impaired safety of swallow including 17.6% aspirations. The EAT-10 showed a ROC AUC of 0.89 for OD with an optimal cut-off at 2 (0.89 sensitivity and 0.82 specificity). The V-VST showed 0.94 sensitivity and 0.88 specificity for OD, 0.79 sensitivity and 0.75 specificity for impaired efficacy, 0.87 sensitivity and 0.81 specificity for impaired safety, and 0.91 sensitivity and 0.28 specificity for aspirations. CONCLUSIONS &amp; INFERENCES Clinical methods for screening (EAT-10) and assessment (V-VST) of OD offer excellent psychometric proprieties that allow adequate management of OD. Their universal application among at-risk populations will improve the identification of patients with OD at risk for malnutrition and aspiration pneumonia.", "author" : [ { "dropping-particle" : "", "family" : "Rofes", "given" : "L.", "non-dropping-particle" : "", "parse-names" : false, "suffix" : "" }, { "dropping-particle" : "", "family" : "Arreola", "given" : "V.", "non-dropping-particle" : "", "parse-names" : false, "suffix" : "" }, { "dropping-particle" : "", "family" : "Mukherjee", "given" : "R.", "non-dropping-particle" : "", "parse-names" : false, "suffix" : "" }, { "dropping-particle" : "", "family" : "Clav?", "given" : "P.", "non-dropping-particle" : "", "parse-names" : false, "suffix" : "" } ], "container-title" : "Neurogastroenterology &amp; Motility", "id" : "ITEM-2", "issue" : "9", "issued" : { "date-parts" : [ [ "2014", "9" ] ] }, "page" : "1256-1265", "title" : "Sensitivity and specificity of the Eating Assessment Tool and the Volume-Viscosity Swallow Test for clinical evaluation of oropharyngeal dysphagia", "type" : "article-journal", "volume" : "26" }, "uris" : [ "http://www.mendeley.com/documents/?uuid=adf525c6-48d4-3cb1-979e-36e8e02c93fc" ] }, { "id" : "ITEM-3", "itemData" : { "author" : [ { "dropping-particle" : "", "family" : "Rosenthal", "given" : "Brett D", "non-dropping-particle" : "", "parse-names" : false, "suffix" : "" }, { "dropping-particle" : "", "family" : "Nair", "given" : "Rueben", "non-dropping-particle" : "", "parse-names" : false, "suffix" : "" }, { "dropping-particle" : "", "family" : "Hsu", "given" : "Wellington K", "non-dropping-particle" : "", "parse-names" : false, "suffix" : "" }, { "dropping-particle" : "", "family" : "Patel", "given" : "Alpesh A", "non-dropping-particle" : "", "parse-names" : false, "suffix" : "" }, { "dropping-particle" : "", "family" : "Savage", "given" : "Jason W", "non-dropping-particle" : "", "parse-names" : false, "suffix" : "" } ], "id" : "ITEM-3", "issue" : "9", "issued" : { "date-parts" : [ [ "2016" ] ] }, "page" : "363-367", "title" : "Dysphagia and Dysphonia Assessment Tools After Anterior Cervical Spine Surgery", "type" : "article-journal", "volume" : "29" }, "uris" : [ "http://www.mendeley.com/documents/?uuid=67e2fdf9-7b71-4155-a1ee-473147012fb1" ] } ], "mendeley" : { "formattedCitation" : "[7,25,26]", "plainTextFormattedCitation" : "[7,25,26]" }, "properties" : { "noteIndex" : 0 }, "schema" : "https://github.com/citation-style-language/schema/raw/master/csl-citation.json" }</w:instrText>
      </w:r>
      <w:r w:rsidR="00614ACB">
        <w:rPr>
          <w:shd w:val="clear" w:color="auto" w:fill="FFFFFF"/>
        </w:rPr>
        <w:fldChar w:fldCharType="separate"/>
      </w:r>
      <w:r w:rsidR="00614ACB" w:rsidRPr="00614ACB">
        <w:rPr>
          <w:noProof/>
          <w:shd w:val="clear" w:color="auto" w:fill="FFFFFF"/>
        </w:rPr>
        <w:t>[7,25,26]</w:t>
      </w:r>
      <w:r w:rsidR="00614ACB">
        <w:rPr>
          <w:shd w:val="clear" w:color="auto" w:fill="FFFFFF"/>
        </w:rPr>
        <w:fldChar w:fldCharType="end"/>
      </w:r>
      <w:r w:rsidRPr="00392DD7">
        <w:rPr>
          <w:shd w:val="clear" w:color="auto" w:fill="FFFFFF"/>
        </w:rPr>
        <w:t xml:space="preserve"> indicates that a majority of the group population is still having issues at this point. The Steroid group median score of 0 indicates that patients given the steroid had a faster return to their baseline swallowing function after surgery. </w:t>
      </w:r>
    </w:p>
    <w:p w14:paraId="72966B7D" w14:textId="77777777" w:rsidR="009A6BC5" w:rsidRPr="00392DD7" w:rsidRDefault="009A6BC5" w:rsidP="009A6BC5">
      <w:pPr>
        <w:rPr>
          <w:shd w:val="clear" w:color="auto" w:fill="FFFFFF"/>
        </w:rPr>
      </w:pPr>
    </w:p>
    <w:p w14:paraId="0FA6A003" w14:textId="56944A1D" w:rsidR="009A6BC5" w:rsidRPr="00392DD7" w:rsidRDefault="005F01A7" w:rsidP="00392DD7">
      <w:pPr>
        <w:pStyle w:val="Heading3"/>
        <w:rPr>
          <w:shd w:val="clear" w:color="auto" w:fill="FFFFFF"/>
        </w:rPr>
      </w:pPr>
      <w:r w:rsidRPr="00392DD7">
        <w:rPr>
          <w:shd w:val="clear" w:color="auto" w:fill="FFFFFF"/>
        </w:rPr>
        <w:lastRenderedPageBreak/>
        <w:t>Limitations</w:t>
      </w:r>
    </w:p>
    <w:p w14:paraId="06554179" w14:textId="52278BD7" w:rsidR="009A6BC5" w:rsidRDefault="009A6BC5" w:rsidP="009A6BC5">
      <w:pPr>
        <w:rPr>
          <w:shd w:val="clear" w:color="auto" w:fill="FFFFFF"/>
        </w:rPr>
      </w:pPr>
      <w:r w:rsidRPr="00392DD7">
        <w:rPr>
          <w:shd w:val="clear" w:color="auto" w:fill="FFFFFF"/>
        </w:rPr>
        <w:t>The results of our study are not without limitations. First and foremost, this is early interim analysis of a study that has a larger target enrollment and a follow up period of one year. The aforementioned status of our study has led to a slight imbalance in patient factors such as BMI, and operative factors. Due to the discrepancy in the literature</w:t>
      </w:r>
      <w:r w:rsidR="003B1FEA">
        <w:rPr>
          <w:shd w:val="clear" w:color="auto" w:fill="FFFFFF"/>
        </w:rPr>
        <w:t>,</w:t>
      </w:r>
      <w:r w:rsidRPr="00392DD7">
        <w:rPr>
          <w:shd w:val="clear" w:color="auto" w:fill="FFFFFF"/>
        </w:rPr>
        <w:t xml:space="preserve"> it is hard to </w:t>
      </w:r>
      <w:r w:rsidR="005F01A7" w:rsidRPr="00392DD7">
        <w:rPr>
          <w:shd w:val="clear" w:color="auto" w:fill="FFFFFF"/>
        </w:rPr>
        <w:t xml:space="preserve">anticipate </w:t>
      </w:r>
      <w:r w:rsidRPr="00392DD7">
        <w:rPr>
          <w:shd w:val="clear" w:color="auto" w:fill="FFFFFF"/>
        </w:rPr>
        <w:t>to what extent these factors play in the development of post-operative dysphagia. As enrollment continues</w:t>
      </w:r>
      <w:r w:rsidR="003B1FEA">
        <w:rPr>
          <w:shd w:val="clear" w:color="auto" w:fill="FFFFFF"/>
        </w:rPr>
        <w:t>,</w:t>
      </w:r>
      <w:r w:rsidRPr="00392DD7">
        <w:rPr>
          <w:shd w:val="clear" w:color="auto" w:fill="FFFFFF"/>
        </w:rPr>
        <w:t xml:space="preserve"> we </w:t>
      </w:r>
      <w:r w:rsidR="00392DD7" w:rsidRPr="00392DD7">
        <w:rPr>
          <w:shd w:val="clear" w:color="auto" w:fill="FFFFFF"/>
        </w:rPr>
        <w:t>are expecting these differences to level-off.</w:t>
      </w:r>
      <w:r w:rsidRPr="00392DD7">
        <w:rPr>
          <w:shd w:val="clear" w:color="auto" w:fill="FFFFFF"/>
        </w:rPr>
        <w:t xml:space="preserve"> </w:t>
      </w:r>
    </w:p>
    <w:p w14:paraId="0FBD8325" w14:textId="00604979" w:rsidR="009A6BC5" w:rsidRPr="00392DD7" w:rsidRDefault="00D83CFC" w:rsidP="009A6BC5">
      <w:pPr>
        <w:rPr>
          <w:shd w:val="clear" w:color="auto" w:fill="FFFFFF"/>
        </w:rPr>
      </w:pPr>
      <w:r>
        <w:rPr>
          <w:shd w:val="clear" w:color="auto" w:fill="FFFFFF"/>
        </w:rPr>
        <w:t xml:space="preserve">*Not all patients included </w:t>
      </w:r>
      <w:proofErr w:type="gramStart"/>
      <w:r>
        <w:rPr>
          <w:shd w:val="clear" w:color="auto" w:fill="FFFFFF"/>
        </w:rPr>
        <w:t>In</w:t>
      </w:r>
      <w:proofErr w:type="gramEnd"/>
      <w:r>
        <w:rPr>
          <w:shd w:val="clear" w:color="auto" w:fill="FFFFFF"/>
        </w:rPr>
        <w:t xml:space="preserve"> the analysis were able to fill out questionnaires at all time points. </w:t>
      </w:r>
      <w:r w:rsidR="009A6BC5" w:rsidRPr="00392DD7">
        <w:rPr>
          <w:shd w:val="clear" w:color="auto" w:fill="FFFFFF"/>
        </w:rPr>
        <w:t xml:space="preserve">Finally, due to the standard of care protocols at our institution, all patients undergoing ACDFs are given 8-10ml of IV dexamethasone by the anesthesiologist during the </w:t>
      </w:r>
      <w:r w:rsidR="005F01A7" w:rsidRPr="00392DD7">
        <w:rPr>
          <w:shd w:val="clear" w:color="auto" w:fill="FFFFFF"/>
        </w:rPr>
        <w:t>surgery</w:t>
      </w:r>
      <w:r w:rsidR="009A6BC5" w:rsidRPr="00392DD7">
        <w:rPr>
          <w:shd w:val="clear" w:color="auto" w:fill="FFFFFF"/>
        </w:rPr>
        <w:t xml:space="preserve">. Since patients are given the IV steroid uniformly, it is </w:t>
      </w:r>
      <w:r w:rsidR="003B1FEA">
        <w:rPr>
          <w:shd w:val="clear" w:color="auto" w:fill="FFFFFF"/>
        </w:rPr>
        <w:t>hard</w:t>
      </w:r>
      <w:r w:rsidR="003B1FEA" w:rsidRPr="00392DD7">
        <w:rPr>
          <w:shd w:val="clear" w:color="auto" w:fill="FFFFFF"/>
        </w:rPr>
        <w:t xml:space="preserve"> </w:t>
      </w:r>
      <w:r w:rsidR="009A6BC5" w:rsidRPr="00392DD7">
        <w:rPr>
          <w:shd w:val="clear" w:color="auto" w:fill="FFFFFF"/>
        </w:rPr>
        <w:t xml:space="preserve">to determine if or how much its application </w:t>
      </w:r>
      <w:r w:rsidR="005F01A7" w:rsidRPr="00392DD7">
        <w:rPr>
          <w:shd w:val="clear" w:color="auto" w:fill="FFFFFF"/>
        </w:rPr>
        <w:t xml:space="preserve">affects </w:t>
      </w:r>
      <w:r w:rsidR="009A6BC5" w:rsidRPr="00392DD7">
        <w:rPr>
          <w:shd w:val="clear" w:color="auto" w:fill="FFFFFF"/>
        </w:rPr>
        <w:t xml:space="preserve">the </w:t>
      </w:r>
      <w:r w:rsidR="003B1FEA">
        <w:rPr>
          <w:shd w:val="clear" w:color="auto" w:fill="FFFFFF"/>
        </w:rPr>
        <w:t>ordinary</w:t>
      </w:r>
      <w:r w:rsidR="003B1FEA" w:rsidRPr="00392DD7">
        <w:rPr>
          <w:shd w:val="clear" w:color="auto" w:fill="FFFFFF"/>
        </w:rPr>
        <w:t xml:space="preserve"> </w:t>
      </w:r>
      <w:r w:rsidR="009A6BC5" w:rsidRPr="00392DD7">
        <w:rPr>
          <w:shd w:val="clear" w:color="auto" w:fill="FFFFFF"/>
        </w:rPr>
        <w:t xml:space="preserve">course of post-operative dysphagia </w:t>
      </w:r>
    </w:p>
    <w:p w14:paraId="745CE127" w14:textId="31C1AD9B" w:rsidR="009A6BC5" w:rsidRPr="00392DD7" w:rsidRDefault="009A6BC5" w:rsidP="009A6BC5">
      <w:r w:rsidRPr="00392DD7">
        <w:rPr>
          <w:shd w:val="clear" w:color="auto" w:fill="FFFFFF"/>
        </w:rPr>
        <w:t xml:space="preserve">Further investigation is needed to delineate the impact of steroid on </w:t>
      </w:r>
      <w:r w:rsidR="003A2408" w:rsidRPr="00392DD7">
        <w:rPr>
          <w:shd w:val="clear" w:color="auto" w:fill="FFFFFF"/>
        </w:rPr>
        <w:t>dysphagia</w:t>
      </w:r>
      <w:r w:rsidRPr="00392DD7">
        <w:rPr>
          <w:shd w:val="clear" w:color="auto" w:fill="FFFFFF"/>
        </w:rPr>
        <w:t>, fusion rates, and pre-</w:t>
      </w:r>
      <w:r w:rsidR="005F01A7" w:rsidRPr="00392DD7">
        <w:rPr>
          <w:shd w:val="clear" w:color="auto" w:fill="FFFFFF"/>
        </w:rPr>
        <w:t>vertebral</w:t>
      </w:r>
      <w:r w:rsidRPr="00392DD7">
        <w:rPr>
          <w:shd w:val="clear" w:color="auto" w:fill="FFFFFF"/>
        </w:rPr>
        <w:t xml:space="preserve"> soft tissue swelling following ACDFs. </w:t>
      </w:r>
    </w:p>
    <w:p w14:paraId="3726D217" w14:textId="77777777" w:rsidR="00ED1DBF" w:rsidRPr="00392DD7" w:rsidRDefault="00ED1DBF" w:rsidP="00ED1DBF">
      <w:pPr>
        <w:rPr>
          <w:strike/>
        </w:rPr>
      </w:pPr>
    </w:p>
    <w:p w14:paraId="675690F3" w14:textId="77777777" w:rsidR="00ED1DBF" w:rsidRPr="00392DD7" w:rsidRDefault="00ED1DBF" w:rsidP="00ED1DBF">
      <w:pPr>
        <w:pStyle w:val="Heading2"/>
        <w:rPr>
          <w:color w:val="auto"/>
        </w:rPr>
      </w:pPr>
      <w:r w:rsidRPr="00392DD7">
        <w:rPr>
          <w:color w:val="auto"/>
        </w:rPr>
        <w:t>Conclusion:</w:t>
      </w:r>
    </w:p>
    <w:p w14:paraId="7F0396E3" w14:textId="271B3FC4" w:rsidR="00ED1DBF" w:rsidRPr="00392DD7" w:rsidRDefault="00ED1DBF" w:rsidP="00ED1DBF">
      <w:r w:rsidRPr="00392DD7">
        <w:t>Our study shows a promising potential for the application of LIC with this delivery method to prophylactically reduce dysphagia following ACDFs</w:t>
      </w:r>
      <w:r w:rsidR="008A315B" w:rsidRPr="00392DD7">
        <w:t>.</w:t>
      </w:r>
    </w:p>
    <w:p w14:paraId="64766DB0" w14:textId="35003941" w:rsidR="005F01A7" w:rsidRPr="00392DD7" w:rsidRDefault="005F01A7" w:rsidP="005F01A7">
      <w:pPr>
        <w:rPr>
          <w:shd w:val="clear" w:color="auto" w:fill="FFFFFF"/>
        </w:rPr>
      </w:pPr>
      <w:r w:rsidRPr="00392DD7">
        <w:rPr>
          <w:shd w:val="clear" w:color="auto" w:fill="FFFFFF"/>
        </w:rPr>
        <w:t>Our early results support those findings of Lee</w:t>
      </w:r>
      <w:r w:rsidR="00392DD7">
        <w:rPr>
          <w:shd w:val="clear" w:color="auto" w:fill="FFFFFF"/>
        </w:rPr>
        <w:t xml:space="preserve"> </w:t>
      </w:r>
      <w:r w:rsidR="00392DD7" w:rsidRPr="009A6BC5">
        <w:rPr>
          <w:color w:val="000000" w:themeColor="text1"/>
        </w:rPr>
        <w:fldChar w:fldCharType="begin" w:fldLock="1"/>
      </w:r>
      <w:r w:rsidR="009F10AD">
        <w:rPr>
          <w:color w:val="000000" w:themeColor="text1"/>
        </w:rPr>
        <w:instrText>ADDIN CSL_CITATION { "citationItems" : [ { "id" : "ITEM-1", "itemData" : { "DOI" : "10.1097/BRS.0b013e318237e5d0", "ISSN" : "0362-2436", "PMID" : "22020609", "abstract" : "STUDY DESIGN A prospective, randomized study. OBJECTIVE To analyze the effect of local retropharyngeal steroid to reduce prevertebral soft tissue swelling (PSTS) after anterior cervical discectomy and fusion (ACDF). SUMMARY OF BACKGROUND DATA There have been several reports on intravenous corticosteroid to prevent airway complication without a consensus; however, there have been no reports to date that have discussed the use of local steroids to reduce PSTS. METHODS Fifty cases that underwent ACDF involving 1 or 2 segments were enrolled. The mean follow-up period was 22 months. Of the 25 cases randomly selected as the steroid group, a mixture of triamcinolone and morcellized collagen sponge was applied to the retropharyngeal space before wound closure. For the control group, the other 25 cases received the operation without steroid. We measured the PSTS ratio to vertebral body from C3 to 7 and PSTS index (PSTSI; mean of PSTS ratio at C3, 4, and 5) on cervical spine. Simple lateral radiographs were taken preoperatively, immediately after operation, and at postoperative 2 days, 4 days, 2 weeks, and the last follow-up. The changes in odynophagia, radiological union, Neck Disability Index were analyzed. RESULTS The PSTS ratio of the steroid group was significantly lower on C3 and C4 immediately after operation, on C3, 4, 5 and C6 at postoperative 2 days, on C3, 4, and 5 at 4 days. The differences of PSTSI (the steroid: control group) maintained at 58.2: 74.3% (P = 0.004) immediately after operation, 57.9: 84.1% (P = 0.000) at 2 days, 56.3: 82.9% (P = 0.000) at 4 days, and 44.9: 51.4% (P = 0.037) at 2 weeks. The mean Visual Analogue Scale for odynophagia was significantly lower in the steroid group until postoperative 2 weeks. The last follow-up showed no significant difference in the radiological and clinical outcome. CONCLUSION Using the retropharyngeal local steroid, we significantly reduced PSTS and odynophagia following ACDF without additional complication. This method may be considered a simple and effective method to decrease PSTS following anterior cervical spine surgery.", "author" : [ { "dropping-particle" : "", "family" : "Lee", "given" : "Sang-Hun", "non-dropping-particle" : "", "parse-names" : false, "suffix" : "" }, { "dropping-particle" : "", "family" : "Kim", "given" : "Ki-Tack", "non-dropping-particle" : "", "parse-names" : false, "suffix" : "" }, { "dropping-particle" : "", "family" : "Suk", "given" : "Kyung-Soo", "non-dropping-particle" : "", "parse-names" : false, "suffix" : "" }, { "dropping-particle" : "", "family" : "Park", "given" : "Kyoung-Jun", "non-dropping-particle" : "", "parse-names" : false, "suffix" : "" }, { "dropping-particle" : "", "family" : "Oh", "given" : "Kyung-Il", "non-dropping-particle" : "", "parse-names" : false, "suffix" : "" } ], "container-title" : "Spine", "id" : "ITEM-1", "issue" : "26", "issued" : { "date-parts" : [ [ "2011", "12", "15" ] ] }, "page" : "2286-2292", "title" : "Effect of Retropharyngeal Steroid on Prevertebral Soft Tissue Swelling Following Anterior Cervical Discectomy and Fusion", "type" : "article-journal", "volume" : "36" }, "uris" : [ "http://www.mendeley.com/documents/?uuid=66724300-6b5a-3e74-a532-1919bfe4364e" ] } ], "mendeley" : { "formattedCitation" : "[11]", "plainTextFormattedCitation" : "[11]", "previouslyFormattedCitation" : "[11]" }, "properties" : { "noteIndex" : 0 }, "schema" : "https://github.com/citation-style-language/schema/raw/master/csl-citation.json" }</w:instrText>
      </w:r>
      <w:r w:rsidR="00392DD7" w:rsidRPr="009A6BC5">
        <w:rPr>
          <w:color w:val="000000" w:themeColor="text1"/>
        </w:rPr>
        <w:fldChar w:fldCharType="separate"/>
      </w:r>
      <w:r w:rsidR="009F10AD" w:rsidRPr="009F10AD">
        <w:rPr>
          <w:noProof/>
          <w:color w:val="000000" w:themeColor="text1"/>
        </w:rPr>
        <w:t>[11]</w:t>
      </w:r>
      <w:r w:rsidR="00392DD7" w:rsidRPr="009A6BC5">
        <w:rPr>
          <w:color w:val="000000" w:themeColor="text1"/>
        </w:rPr>
        <w:fldChar w:fldCharType="end"/>
      </w:r>
      <w:r w:rsidRPr="00392DD7">
        <w:rPr>
          <w:shd w:val="clear" w:color="auto" w:fill="FFFFFF"/>
        </w:rPr>
        <w:t xml:space="preserve">, </w:t>
      </w:r>
      <w:proofErr w:type="spellStart"/>
      <w:r w:rsidRPr="00392DD7">
        <w:rPr>
          <w:shd w:val="clear" w:color="auto" w:fill="FFFFFF"/>
        </w:rPr>
        <w:t>Koreckjii</w:t>
      </w:r>
      <w:proofErr w:type="spellEnd"/>
      <w:r w:rsidR="00392DD7">
        <w:rPr>
          <w:shd w:val="clear" w:color="auto" w:fill="FFFFFF"/>
        </w:rPr>
        <w:t xml:space="preserve"> </w:t>
      </w:r>
      <w:r w:rsidR="00392DD7" w:rsidRPr="00532530">
        <w:fldChar w:fldCharType="begin" w:fldLock="1"/>
      </w:r>
      <w:r w:rsidR="009F10AD">
        <w:instrText>ADDIN CSL_CITATION { "citationItems" : [ { "id" : "ITEM-1", "itemData" : { "DOI" : "10.1097/BRS.0000000000001293", "ISBN" : "0000000000", "author" : [ { "dropping-particle" : "", "family" : "Koreckij", "given" : "Theodore D", "non-dropping-particle" : "", "parse-names" : false, "suffix" : "" }, { "dropping-particle" : "", "family" : "Davidson", "given" : "Abigail A", "non-dropping-particle" : "", "parse-names" : false, "suffix" : "" }, { "dropping-particle" : "", "family" : "Baker", "given" : "Kevin C", "non-dropping-particle" : "", "parse-names" : false, "suffix" : "" }, { "dropping-particle" : "", "family" : "Park", "given" : "Daniel K", "non-dropping-particle" : "", "parse-names" : false, "suffix" : "" } ], "id" : "ITEM-1", "issue" : "9", "issued" : { "date-parts" : [ [ "2016" ] ] }, "page" : "530-534", "title" : "Retropharyngeal Steroids and Dysphagia Following Multilevel Anterior Cervical Surgery", "type" : "article-journal", "volume" : "41" }, "uris" : [ "http://www.mendeley.com/documents/?uuid=94d08d25-159b-43ae-8e2d-c558b4eb11b2" ] } ], "mendeley" : { "formattedCitation" : "[9]", "plainTextFormattedCitation" : "[9]", "previouslyFormattedCitation" : "[9]" }, "properties" : { "noteIndex" : 0 }, "schema" : "https://github.com/citation-style-language/schema/raw/master/csl-citation.json" }</w:instrText>
      </w:r>
      <w:r w:rsidR="00392DD7" w:rsidRPr="00532530">
        <w:fldChar w:fldCharType="separate"/>
      </w:r>
      <w:r w:rsidR="009F10AD" w:rsidRPr="009F10AD">
        <w:rPr>
          <w:noProof/>
        </w:rPr>
        <w:t>[9]</w:t>
      </w:r>
      <w:r w:rsidR="00392DD7" w:rsidRPr="00532530">
        <w:fldChar w:fldCharType="end"/>
      </w:r>
      <w:r w:rsidRPr="00392DD7">
        <w:rPr>
          <w:shd w:val="clear" w:color="auto" w:fill="FFFFFF"/>
        </w:rPr>
        <w:t xml:space="preserve">, and </w:t>
      </w:r>
      <w:proofErr w:type="spellStart"/>
      <w:r w:rsidRPr="00392DD7">
        <w:rPr>
          <w:shd w:val="clear" w:color="auto" w:fill="FFFFFF"/>
        </w:rPr>
        <w:t>Cancienne</w:t>
      </w:r>
      <w:proofErr w:type="spellEnd"/>
      <w:r w:rsidRPr="00392DD7">
        <w:rPr>
          <w:shd w:val="clear" w:color="auto" w:fill="FFFFFF"/>
        </w:rPr>
        <w:t xml:space="preserve"> </w:t>
      </w:r>
      <w:r w:rsidR="00392DD7" w:rsidRPr="009A6BC5">
        <w:fldChar w:fldCharType="begin" w:fldLock="1"/>
      </w:r>
      <w:r w:rsidR="001A0F0E">
        <w:instrText>ADDIN CSL_CITATION { "citationItems" : [ { "id" : "ITEM-1", "itemData" : { "DOI" : "10.1097/BRS.0000000000001407", "ISBN" : "0000000000", "ISSN" : "1528-1159", "PMID" : "26679890", "abstract" : "STUDY DESIGN A retrospective database analysis. OBJECTIVE The aim of this study is to compare rates of postoperative dysphagia, length of stay, infection, and wound complications following short and long anterior cervical discectomy and fusion (ACDF) in patients who received local intraoperative steroids and those who did not. SUMMARY OF BACKGROUND DATA Only one prior small institutional study has investigated the application of local steroids at the time of ACDF to decrease postoperative dysphagia. METHODS A large administrative database was utilized to compare rates of postoperative dysphagia, length of stay, and infectious complications within 90 days in patients who received local steroid following short (1-2 level) and long (3 or more level) ACDF and control groups who did not. Nonobtainable information within the database included type of steroid, application technique, outcome data, and incidence of miscoding and noncoding by physicians. Odds ratios (ORs), 95% confidence intervals (95% CIs) and P values were then calculated using SPSS. RESULTS The incidence of dysphagia was significantly lower (9.0% vs. 14.6%, P = 0.005) in patients who received local steroid in the long ACDF group (n = 322) than a control group who did not (n = 45,432). This was not observed (P = 0.198) in the short ACDF group who received steroid (n = 1770) compared with a control group who did not (n = 198,230). The mean difference in length of stay was 1 day less for patients who received local steroid in both the short and long ACDF groups (P &lt; 0.0001). The combined rate of postoperative infection and wound complications was not significantly different between steroid and control groups (P = 0.717). CONCLUSION This analysis of a large administrative database suggests that local intraoperative steroid is associated with a significantly reduced rate of postoperative dysphagia after long ACDF and reduced average length of stay following both long and short ACDF without any increase in the rate of postoperative infection or wound complication. LEVEL OF EVIDENCE 3.", "author" : [ { "dropping-particle" : "", "family" : "Cancienne", "given" : "Jourdan M", "non-dropping-particle" : "", "parse-names" : false, "suffix" : "" }, { "dropping-particle" : "", "family" : "Werner", "given" : "Brian C", "non-dropping-particle" : "", "parse-names" : false, "suffix" : "" }, { "dropping-particle" : "", "family" : "Loeb", "given" : "Alex E", "non-dropping-particle" : "", "parse-names" : false, "suffix" : "" }, { "dropping-particle" : "", "family" : "Yang", "given" : "Scott S", "non-dropping-particle" : "", "parse-names" : false, "suffix" : "" }, { "dropping-particle" : "", "family" : "Hassanzadeh", "given" : "Hamid", "non-dropping-particle" : "", "parse-names" : false, "suffix" : "" }, { "dropping-particle" : "", "family" : "Singla", "given" : "Anuj", "non-dropping-particle" : "", "parse-names" : false, "suffix" : "" }, { "dropping-particle" : "", "family" : "Shen", "given" : "Frank H", "non-dropping-particle" : "", "parse-names" : false, "suffix" : "" }, { "dropping-particle" : "", "family" : "Shimer", "given" : "Adam L", "non-dropping-particle" : "", "parse-names" : false, "suffix" : "" } ], "container-title" : "Spine", "id" : "ITEM-1", "issue" : "13", "issued" : { "date-parts" : [ [ "2016", "7" ] ] }, "page" : "1084-8", "title" : "The Effect of Local Intraoperative Steroid Administration on the Rate of Postoperative Dysphagia Following ACDF: A Study of 245,754 Patients.", "type" : "article-journal", "volume" : "41" }, "uris" : [ "http://www.mendeley.com/documents/?uuid=19410fd3-965c-4548-b5b8-a912b00704ea", "http://www.mendeley.com/documents/?uuid=97732686-c06a-4f0b-8bd8-a11714d88431" ] } ], "mendeley" : { "formattedCitation" : "[22]", "plainTextFormattedCitation" : "[22]", "previouslyFormattedCitation" : "[22]" }, "properties" : { "noteIndex" : 0 }, "schema" : "https://github.com/citation-style-language/schema/raw/master/csl-citation.json" }</w:instrText>
      </w:r>
      <w:r w:rsidR="00392DD7" w:rsidRPr="009A6BC5">
        <w:fldChar w:fldCharType="separate"/>
      </w:r>
      <w:r w:rsidR="001A0F0E" w:rsidRPr="001A0F0E">
        <w:rPr>
          <w:noProof/>
        </w:rPr>
        <w:t>[22]</w:t>
      </w:r>
      <w:r w:rsidR="00392DD7" w:rsidRPr="009A6BC5">
        <w:fldChar w:fldCharType="end"/>
      </w:r>
      <w:r w:rsidR="00392DD7">
        <w:t xml:space="preserve"> </w:t>
      </w:r>
      <w:r w:rsidRPr="00392DD7">
        <w:rPr>
          <w:shd w:val="clear" w:color="auto" w:fill="FFFFFF"/>
        </w:rPr>
        <w:t>and contribute to literature by provided evidence that</w:t>
      </w:r>
      <w:r w:rsidR="009A1644">
        <w:rPr>
          <w:shd w:val="clear" w:color="auto" w:fill="FFFFFF"/>
        </w:rPr>
        <w:t xml:space="preserve"> administering local intraoperative steroids to the </w:t>
      </w:r>
      <w:r w:rsidR="009A1644" w:rsidRPr="00B96272">
        <w:t>retro</w:t>
      </w:r>
      <w:r w:rsidR="009A1644">
        <w:t>-</w:t>
      </w:r>
      <w:r w:rsidR="009A1644" w:rsidRPr="00B96272">
        <w:t>esophageal</w:t>
      </w:r>
      <w:r w:rsidR="009A1644">
        <w:rPr>
          <w:shd w:val="clear" w:color="auto" w:fill="FFFFFF"/>
        </w:rPr>
        <w:t xml:space="preserve">  </w:t>
      </w:r>
      <w:proofErr w:type="spellStart"/>
      <w:r w:rsidR="009A1644">
        <w:rPr>
          <w:shd w:val="clear" w:color="auto" w:fill="FFFFFF"/>
        </w:rPr>
        <w:t>space,</w:t>
      </w:r>
      <w:r w:rsidR="00614ACB">
        <w:rPr>
          <w:shd w:val="clear" w:color="auto" w:fill="FFFFFF"/>
        </w:rPr>
        <w:t>in</w:t>
      </w:r>
      <w:proofErr w:type="spellEnd"/>
      <w:r w:rsidR="00614ACB">
        <w:rPr>
          <w:shd w:val="clear" w:color="auto" w:fill="FFFFFF"/>
        </w:rPr>
        <w:t xml:space="preserve"> a randomized and double blinded fashion</w:t>
      </w:r>
      <w:r w:rsidR="009A1644">
        <w:rPr>
          <w:shd w:val="clear" w:color="auto" w:fill="FFFFFF"/>
        </w:rPr>
        <w:t xml:space="preserve">; results in a reduction of validated dysphagia specific questionnaire scores without increasing the rate of early complications. </w:t>
      </w:r>
      <w:r w:rsidRPr="00392DD7">
        <w:rPr>
          <w:shd w:val="clear" w:color="auto" w:fill="FFFFFF"/>
        </w:rPr>
        <w:t>.</w:t>
      </w:r>
    </w:p>
    <w:p w14:paraId="3C8D4C75" w14:textId="77777777" w:rsidR="00ED1DBF" w:rsidRDefault="00ED1DBF" w:rsidP="00ED1DBF">
      <w:pPr>
        <w:pStyle w:val="Heading2"/>
      </w:pPr>
      <w:r>
        <w:lastRenderedPageBreak/>
        <w:t>References</w:t>
      </w:r>
    </w:p>
    <w:p w14:paraId="13BB0790" w14:textId="77777777" w:rsidR="00ED1DBF" w:rsidRDefault="00ED1DBF" w:rsidP="00ED1DBF"/>
    <w:p w14:paraId="3B393CC0" w14:textId="4F326B20" w:rsidR="00614ACB" w:rsidRPr="00614ACB" w:rsidRDefault="00ED1DBF" w:rsidP="00614ACB">
      <w:pPr>
        <w:widowControl w:val="0"/>
        <w:autoSpaceDE w:val="0"/>
        <w:autoSpaceDN w:val="0"/>
        <w:adjustRightInd w:val="0"/>
        <w:spacing w:line="240" w:lineRule="auto"/>
        <w:ind w:left="640" w:hanging="640"/>
        <w:rPr>
          <w:rFonts w:ascii="Calibri" w:hAnsi="Calibri" w:cs="Times New Roman"/>
          <w:noProof/>
          <w:szCs w:val="24"/>
        </w:rPr>
      </w:pPr>
      <w:r>
        <w:fldChar w:fldCharType="begin" w:fldLock="1"/>
      </w:r>
      <w:r>
        <w:instrText xml:space="preserve">ADDIN Mendeley Bibliography CSL_BIBLIOGRAPHY </w:instrText>
      </w:r>
      <w:r>
        <w:fldChar w:fldCharType="separate"/>
      </w:r>
      <w:r w:rsidR="00614ACB" w:rsidRPr="00614ACB">
        <w:rPr>
          <w:rFonts w:ascii="Calibri" w:hAnsi="Calibri" w:cs="Times New Roman"/>
          <w:noProof/>
          <w:szCs w:val="24"/>
        </w:rPr>
        <w:t>[1]</w:t>
      </w:r>
      <w:r w:rsidR="00614ACB" w:rsidRPr="00614ACB">
        <w:rPr>
          <w:rFonts w:ascii="Calibri" w:hAnsi="Calibri" w:cs="Times New Roman"/>
          <w:noProof/>
          <w:szCs w:val="24"/>
        </w:rPr>
        <w:tab/>
        <w:t xml:space="preserve"> Anderson KK, Arnold PM. Oropharyngeal Dysphagia after Anterior Cervical Spine Surgery : A Review 2013.</w:t>
      </w:r>
    </w:p>
    <w:p w14:paraId="1DDC6107"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[2]</w:t>
      </w:r>
      <w:r w:rsidRPr="00614ACB">
        <w:rPr>
          <w:rFonts w:ascii="Calibri" w:hAnsi="Calibri" w:cs="Times New Roman"/>
          <w:noProof/>
          <w:szCs w:val="24"/>
        </w:rPr>
        <w:tab/>
        <w:t xml:space="preserve"> Shriver MF, Lewis DJ, Kshettry VR, et al. Dysphagia Rates after Anterior Cervical Diskectomy and Fusion : A Systematic Review and 2017.</w:t>
      </w:r>
    </w:p>
    <w:p w14:paraId="2A8303C4"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[3]</w:t>
      </w:r>
      <w:r w:rsidRPr="00614ACB">
        <w:rPr>
          <w:rFonts w:ascii="Calibri" w:hAnsi="Calibri" w:cs="Times New Roman"/>
          <w:noProof/>
          <w:szCs w:val="24"/>
        </w:rPr>
        <w:tab/>
        <w:t xml:space="preserve"> Wang T, Wang H, Liu S, et al. Anterior cervical discectomy and fusion versus anterior cervical corpectomy and fusion in multilevel cervical spondylotic myelopathy 2016;49.</w:t>
      </w:r>
    </w:p>
    <w:p w14:paraId="7F342ED8"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[4]</w:t>
      </w:r>
      <w:r w:rsidRPr="00614ACB">
        <w:rPr>
          <w:rFonts w:ascii="Calibri" w:hAnsi="Calibri" w:cs="Times New Roman"/>
          <w:noProof/>
          <w:szCs w:val="24"/>
        </w:rPr>
        <w:tab/>
        <w:t xml:space="preserve"> Rihn JA, Kane J, Albert TJ, et al. What Is the Incidence and Severity of Dysphagia After Anterior Cervical Surgery? </w:t>
      </w:r>
      <w:r w:rsidRPr="00614ACB">
        <w:rPr>
          <w:rFonts w:ascii="Calibri" w:hAnsi="Calibri" w:cs="Times New Roman"/>
          <w:i/>
          <w:iCs/>
          <w:noProof/>
          <w:szCs w:val="24"/>
        </w:rPr>
        <w:t>Clin Orthop Relat Res</w:t>
      </w:r>
      <w:r w:rsidRPr="00614ACB">
        <w:rPr>
          <w:rFonts w:ascii="Calibri" w:hAnsi="Calibri" w:cs="Times New Roman"/>
          <w:noProof/>
          <w:szCs w:val="24"/>
        </w:rPr>
        <w:t xml:space="preserve"> 2011;469:658–65.</w:t>
      </w:r>
    </w:p>
    <w:p w14:paraId="0FF620F6"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[5]</w:t>
      </w:r>
      <w:r w:rsidRPr="00614ACB">
        <w:rPr>
          <w:rFonts w:ascii="Calibri" w:hAnsi="Calibri" w:cs="Times New Roman"/>
          <w:noProof/>
          <w:szCs w:val="24"/>
        </w:rPr>
        <w:tab/>
        <w:t xml:space="preserve"> Jeyamohan SB, Kenning TJ, Petronis KA, et al. Effect of steroid use in anterior cervical discectomy and fusion: a randomized controlled trial 2015;23:137–43.</w:t>
      </w:r>
    </w:p>
    <w:p w14:paraId="705B4705"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[6]</w:t>
      </w:r>
      <w:r w:rsidRPr="00614ACB">
        <w:rPr>
          <w:rFonts w:ascii="Calibri" w:hAnsi="Calibri" w:cs="Times New Roman"/>
          <w:noProof/>
          <w:szCs w:val="24"/>
        </w:rPr>
        <w:tab/>
        <w:t xml:space="preserve"> Skeppholm M, Ingebro C, Engström T, et al. The Dysphagia Short Questionnaire. </w:t>
      </w:r>
      <w:r w:rsidRPr="00614ACB">
        <w:rPr>
          <w:rFonts w:ascii="Calibri" w:hAnsi="Calibri" w:cs="Times New Roman"/>
          <w:i/>
          <w:iCs/>
          <w:noProof/>
          <w:szCs w:val="24"/>
        </w:rPr>
        <w:t>Spine (Phila Pa 1976)</w:t>
      </w:r>
      <w:r w:rsidRPr="00614ACB">
        <w:rPr>
          <w:rFonts w:ascii="Calibri" w:hAnsi="Calibri" w:cs="Times New Roman"/>
          <w:noProof/>
          <w:szCs w:val="24"/>
        </w:rPr>
        <w:t xml:space="preserve"> 2012;37:996–1002.</w:t>
      </w:r>
    </w:p>
    <w:p w14:paraId="78C079DB"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[7]</w:t>
      </w:r>
      <w:r w:rsidRPr="00614ACB">
        <w:rPr>
          <w:rFonts w:ascii="Calibri" w:hAnsi="Calibri" w:cs="Times New Roman"/>
          <w:noProof/>
          <w:szCs w:val="24"/>
        </w:rPr>
        <w:tab/>
        <w:t xml:space="preserve"> Rosenthal BD, Nair R, Hsu WK, et al. Dysphagia and Dysphonia Assessment Tools After Anterior Cervical Spine Surgery 2016;29:363–7.</w:t>
      </w:r>
    </w:p>
    <w:p w14:paraId="0B0FCE1C"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[8]</w:t>
      </w:r>
      <w:r w:rsidRPr="00614ACB">
        <w:rPr>
          <w:rFonts w:ascii="Calibri" w:hAnsi="Calibri" w:cs="Times New Roman"/>
          <w:noProof/>
          <w:szCs w:val="24"/>
        </w:rPr>
        <w:tab/>
        <w:t xml:space="preserve"> Bazaz R, Lee MJ, Yoo JU. Incidence of dysphagia after anterior cervical spine surgery: a prospective study. </w:t>
      </w:r>
      <w:r w:rsidRPr="00614ACB">
        <w:rPr>
          <w:rFonts w:ascii="Calibri" w:hAnsi="Calibri" w:cs="Times New Roman"/>
          <w:i/>
          <w:iCs/>
          <w:noProof/>
          <w:szCs w:val="24"/>
        </w:rPr>
        <w:t>Spine (Phila Pa 1976)</w:t>
      </w:r>
      <w:r w:rsidRPr="00614ACB">
        <w:rPr>
          <w:rFonts w:ascii="Calibri" w:hAnsi="Calibri" w:cs="Times New Roman"/>
          <w:noProof/>
          <w:szCs w:val="24"/>
        </w:rPr>
        <w:t xml:space="preserve"> 2002;27:2453–8.</w:t>
      </w:r>
    </w:p>
    <w:p w14:paraId="7862ABE9"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[9]</w:t>
      </w:r>
      <w:r w:rsidRPr="00614ACB">
        <w:rPr>
          <w:rFonts w:ascii="Calibri" w:hAnsi="Calibri" w:cs="Times New Roman"/>
          <w:noProof/>
          <w:szCs w:val="24"/>
        </w:rPr>
        <w:tab/>
        <w:t xml:space="preserve"> Koreckij TD, Davidson AA, Baker KC, et al. Retropharyngeal Steroids and Dysphagia Following Multilevel Anterior Cervical Surgery 2016;41:530–4.</w:t>
      </w:r>
    </w:p>
    <w:p w14:paraId="7C69FC22"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[10]</w:t>
      </w:r>
      <w:r w:rsidRPr="00614ACB">
        <w:rPr>
          <w:rFonts w:ascii="Calibri" w:hAnsi="Calibri" w:cs="Times New Roman"/>
          <w:noProof/>
          <w:szCs w:val="24"/>
        </w:rPr>
        <w:tab/>
        <w:t xml:space="preserve"> Riley LH, Skolasky RL, Albert TJ, et al. Dysphagia after anterior cervical decompression and fusion: prevalence and risk factors from a longitudinal cohort study. </w:t>
      </w:r>
      <w:r w:rsidRPr="00614ACB">
        <w:rPr>
          <w:rFonts w:ascii="Calibri" w:hAnsi="Calibri" w:cs="Times New Roman"/>
          <w:i/>
          <w:iCs/>
          <w:noProof/>
          <w:szCs w:val="24"/>
        </w:rPr>
        <w:t>Spine (Phila Pa 1976)</w:t>
      </w:r>
      <w:r w:rsidRPr="00614ACB">
        <w:rPr>
          <w:rFonts w:ascii="Calibri" w:hAnsi="Calibri" w:cs="Times New Roman"/>
          <w:noProof/>
          <w:szCs w:val="24"/>
        </w:rPr>
        <w:t xml:space="preserve"> 2005;30:2564–9.</w:t>
      </w:r>
    </w:p>
    <w:p w14:paraId="08FA932D"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[11]</w:t>
      </w:r>
      <w:r w:rsidRPr="00614ACB">
        <w:rPr>
          <w:rFonts w:ascii="Calibri" w:hAnsi="Calibri" w:cs="Times New Roman"/>
          <w:noProof/>
          <w:szCs w:val="24"/>
        </w:rPr>
        <w:tab/>
        <w:t xml:space="preserve"> Lee S-H, Kim K-T, Suk K-S, et al. Effect of Retropharyngeal Steroid on Prevertebral Soft Tissue Swelling Following Anterior Cervical Discectomy and Fusion. </w:t>
      </w:r>
      <w:r w:rsidRPr="00614ACB">
        <w:rPr>
          <w:rFonts w:ascii="Calibri" w:hAnsi="Calibri" w:cs="Times New Roman"/>
          <w:i/>
          <w:iCs/>
          <w:noProof/>
          <w:szCs w:val="24"/>
        </w:rPr>
        <w:t>Spine (Phila Pa 1976)</w:t>
      </w:r>
      <w:r w:rsidRPr="00614ACB">
        <w:rPr>
          <w:rFonts w:ascii="Calibri" w:hAnsi="Calibri" w:cs="Times New Roman"/>
          <w:noProof/>
          <w:szCs w:val="24"/>
        </w:rPr>
        <w:t xml:space="preserve"> 2011;36:2286–92.</w:t>
      </w:r>
    </w:p>
    <w:p w14:paraId="0FECCB57"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[12]</w:t>
      </w:r>
      <w:r w:rsidRPr="00614ACB">
        <w:rPr>
          <w:rFonts w:ascii="Calibri" w:hAnsi="Calibri" w:cs="Times New Roman"/>
          <w:noProof/>
          <w:szCs w:val="24"/>
        </w:rPr>
        <w:tab/>
        <w:t xml:space="preserve"> Cheney DM. The Ability of the 10-Item Eating Assessment Tool ( EAT-10 ) to Predict Aspiration Risk in Persons With Dysphagia The Ability of the 10-Item Eating Assessment Tool ( EAT-10 ) to Predict Aspiration Risk in Persons With Dysphagia 2015.</w:t>
      </w:r>
    </w:p>
    <w:p w14:paraId="0A417F9B"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[13]</w:t>
      </w:r>
      <w:r w:rsidRPr="00614ACB">
        <w:rPr>
          <w:rFonts w:ascii="Calibri" w:hAnsi="Calibri" w:cs="Times New Roman"/>
          <w:noProof/>
          <w:szCs w:val="24"/>
        </w:rPr>
        <w:tab/>
        <w:t xml:space="preserve"> Heijnen BJ, Speyer R, Bülow M, et al. “What About Swallowing?” Diagnostic Performance of Daily Clinical Practice Compared with the Eating Assessment Tool-10. </w:t>
      </w:r>
      <w:r w:rsidRPr="00614ACB">
        <w:rPr>
          <w:rFonts w:ascii="Calibri" w:hAnsi="Calibri" w:cs="Times New Roman"/>
          <w:i/>
          <w:iCs/>
          <w:noProof/>
          <w:szCs w:val="24"/>
        </w:rPr>
        <w:t>Dysphagia</w:t>
      </w:r>
      <w:r w:rsidRPr="00614ACB">
        <w:rPr>
          <w:rFonts w:ascii="Calibri" w:hAnsi="Calibri" w:cs="Times New Roman"/>
          <w:noProof/>
          <w:szCs w:val="24"/>
        </w:rPr>
        <w:t xml:space="preserve"> 2016;31:214–22.</w:t>
      </w:r>
    </w:p>
    <w:p w14:paraId="0DC91D3A"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[14]</w:t>
      </w:r>
      <w:r w:rsidRPr="00614ACB">
        <w:rPr>
          <w:rFonts w:ascii="Calibri" w:hAnsi="Calibri" w:cs="Times New Roman"/>
          <w:noProof/>
          <w:szCs w:val="24"/>
        </w:rPr>
        <w:tab/>
        <w:t xml:space="preserve"> Cancienne JM, Werner BC, Loeb AE, et al. The Effect of Local Intraoperative Steroid. </w:t>
      </w:r>
      <w:r w:rsidRPr="00614ACB">
        <w:rPr>
          <w:rFonts w:ascii="Calibri" w:hAnsi="Calibri" w:cs="Times New Roman"/>
          <w:i/>
          <w:iCs/>
          <w:noProof/>
          <w:szCs w:val="24"/>
        </w:rPr>
        <w:t>Spine (Phila Pa 1976)</w:t>
      </w:r>
      <w:r w:rsidRPr="00614ACB">
        <w:rPr>
          <w:rFonts w:ascii="Calibri" w:hAnsi="Calibri" w:cs="Times New Roman"/>
          <w:noProof/>
          <w:szCs w:val="24"/>
        </w:rPr>
        <w:t xml:space="preserve"> 2016;41:1084–8.</w:t>
      </w:r>
    </w:p>
    <w:p w14:paraId="7772EB38"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lastRenderedPageBreak/>
        <w:t>[15]</w:t>
      </w:r>
      <w:r w:rsidRPr="00614ACB">
        <w:rPr>
          <w:rFonts w:ascii="Calibri" w:hAnsi="Calibri" w:cs="Times New Roman"/>
          <w:noProof/>
          <w:szCs w:val="24"/>
        </w:rPr>
        <w:tab/>
        <w:t xml:space="preserve"> Rihn JA, Kane J, Albert TJ, et al. What Is the Incidence and Severity of Dysphagia After Anterior Cervical Surgery ? 2011:658–65.</w:t>
      </w:r>
    </w:p>
    <w:p w14:paraId="0EB6C98B"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[16]</w:t>
      </w:r>
      <w:r w:rsidRPr="00614ACB">
        <w:rPr>
          <w:rFonts w:ascii="Calibri" w:hAnsi="Calibri" w:cs="Times New Roman"/>
          <w:noProof/>
          <w:szCs w:val="24"/>
        </w:rPr>
        <w:tab/>
        <w:t xml:space="preserve"> Adenikinju AS, Halani SH, Rindler RS, et al. Effect of perioperative steroids on dysphagia after anterior cervical spine surgery : A systematic review. </w:t>
      </w:r>
      <w:r w:rsidRPr="00614ACB">
        <w:rPr>
          <w:rFonts w:ascii="Calibri" w:hAnsi="Calibri" w:cs="Times New Roman"/>
          <w:i/>
          <w:iCs/>
          <w:noProof/>
          <w:szCs w:val="24"/>
        </w:rPr>
        <w:t>Int J Spine Surg</w:t>
      </w:r>
      <w:r w:rsidRPr="00614ACB">
        <w:rPr>
          <w:rFonts w:ascii="Calibri" w:hAnsi="Calibri" w:cs="Times New Roman"/>
          <w:noProof/>
          <w:szCs w:val="24"/>
        </w:rPr>
        <w:t xml:space="preserve"> 2017;11:59–69.</w:t>
      </w:r>
    </w:p>
    <w:p w14:paraId="155E9943"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[17]</w:t>
      </w:r>
      <w:r w:rsidRPr="00614ACB">
        <w:rPr>
          <w:rFonts w:ascii="Calibri" w:hAnsi="Calibri" w:cs="Times New Roman"/>
          <w:noProof/>
          <w:szCs w:val="24"/>
        </w:rPr>
        <w:tab/>
        <w:t xml:space="preserve"> Kepler CK, Rihn JA, Bennett JD, et al. Dysphagia and soft-tissue swelling after anterior cervical surgery : a radiographic analysis. </w:t>
      </w:r>
      <w:r w:rsidRPr="00614ACB">
        <w:rPr>
          <w:rFonts w:ascii="Calibri" w:hAnsi="Calibri" w:cs="Times New Roman"/>
          <w:i/>
          <w:iCs/>
          <w:noProof/>
          <w:szCs w:val="24"/>
        </w:rPr>
        <w:t>Spine J</w:t>
      </w:r>
      <w:r w:rsidRPr="00614ACB">
        <w:rPr>
          <w:rFonts w:ascii="Calibri" w:hAnsi="Calibri" w:cs="Times New Roman"/>
          <w:noProof/>
          <w:szCs w:val="24"/>
        </w:rPr>
        <w:t xml:space="preserve"> 2012;12:639–44.</w:t>
      </w:r>
    </w:p>
    <w:p w14:paraId="692A68EB"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[18]</w:t>
      </w:r>
      <w:r w:rsidRPr="00614ACB">
        <w:rPr>
          <w:rFonts w:ascii="Calibri" w:hAnsi="Calibri" w:cs="Times New Roman"/>
          <w:noProof/>
          <w:szCs w:val="24"/>
        </w:rPr>
        <w:tab/>
        <w:t xml:space="preserve"> Edwards CC, Karpitskaya Y, Cha C, et al. Accurate identification of adverse outcomes after cervical spine surgery. </w:t>
      </w:r>
      <w:r w:rsidRPr="00614ACB">
        <w:rPr>
          <w:rFonts w:ascii="Calibri" w:hAnsi="Calibri" w:cs="Times New Roman"/>
          <w:i/>
          <w:iCs/>
          <w:noProof/>
          <w:szCs w:val="24"/>
        </w:rPr>
        <w:t>J Bone Joint Surg Am</w:t>
      </w:r>
      <w:r w:rsidRPr="00614ACB">
        <w:rPr>
          <w:rFonts w:ascii="Calibri" w:hAnsi="Calibri" w:cs="Times New Roman"/>
          <w:noProof/>
          <w:szCs w:val="24"/>
        </w:rPr>
        <w:t xml:space="preserve"> 2004;86–A:251–6.</w:t>
      </w:r>
    </w:p>
    <w:p w14:paraId="1B07E773"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[19]</w:t>
      </w:r>
      <w:r w:rsidRPr="00614ACB">
        <w:rPr>
          <w:rFonts w:ascii="Calibri" w:hAnsi="Calibri" w:cs="Times New Roman"/>
          <w:noProof/>
          <w:szCs w:val="24"/>
        </w:rPr>
        <w:tab/>
        <w:t xml:space="preserve"> Song K, Lee S, Ko J, et al. The clinical efficacy of short-term steroid treatment in multilevel anterior cervical arthrodesis. </w:t>
      </w:r>
      <w:r w:rsidRPr="00614ACB">
        <w:rPr>
          <w:rFonts w:ascii="Calibri" w:hAnsi="Calibri" w:cs="Times New Roman"/>
          <w:i/>
          <w:iCs/>
          <w:noProof/>
          <w:szCs w:val="24"/>
        </w:rPr>
        <w:t>Spine J</w:t>
      </w:r>
      <w:r w:rsidRPr="00614ACB">
        <w:rPr>
          <w:rFonts w:ascii="Calibri" w:hAnsi="Calibri" w:cs="Times New Roman"/>
          <w:noProof/>
          <w:szCs w:val="24"/>
        </w:rPr>
        <w:t xml:space="preserve"> 2014;14:2954–8.</w:t>
      </w:r>
    </w:p>
    <w:p w14:paraId="1946E5B8"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[20]</w:t>
      </w:r>
      <w:r w:rsidRPr="00614ACB">
        <w:rPr>
          <w:rFonts w:ascii="Calibri" w:hAnsi="Calibri" w:cs="Times New Roman"/>
          <w:noProof/>
          <w:szCs w:val="24"/>
        </w:rPr>
        <w:tab/>
        <w:t xml:space="preserve"> Pedram M, Castagnera L, Carat X, et al. Pharyngolaryngeal lesions in patients undergoing cervical spine surgery through the anterior approach: contribution of methylprednisolone. </w:t>
      </w:r>
      <w:r w:rsidRPr="00614ACB">
        <w:rPr>
          <w:rFonts w:ascii="Calibri" w:hAnsi="Calibri" w:cs="Times New Roman"/>
          <w:i/>
          <w:iCs/>
          <w:noProof/>
          <w:szCs w:val="24"/>
        </w:rPr>
        <w:t>Eur Spine J</w:t>
      </w:r>
      <w:r w:rsidRPr="00614ACB">
        <w:rPr>
          <w:rFonts w:ascii="Calibri" w:hAnsi="Calibri" w:cs="Times New Roman"/>
          <w:noProof/>
          <w:szCs w:val="24"/>
        </w:rPr>
        <w:t xml:space="preserve"> 2003;12:84–90.</w:t>
      </w:r>
    </w:p>
    <w:p w14:paraId="4FE78D7F"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[21]</w:t>
      </w:r>
      <w:r w:rsidRPr="00614ACB">
        <w:rPr>
          <w:rFonts w:ascii="Calibri" w:hAnsi="Calibri" w:cs="Times New Roman"/>
          <w:noProof/>
          <w:szCs w:val="24"/>
        </w:rPr>
        <w:tab/>
        <w:t xml:space="preserve"> Nam TW, Lee DH, Shin JK, et al. Effect of intravenous dexamethasone on prevertebral soft tissue swelling after anterior cervical discectomy and fusion. </w:t>
      </w:r>
      <w:r w:rsidRPr="00614ACB">
        <w:rPr>
          <w:rFonts w:ascii="Calibri" w:hAnsi="Calibri" w:cs="Times New Roman"/>
          <w:i/>
          <w:iCs/>
          <w:noProof/>
          <w:szCs w:val="24"/>
        </w:rPr>
        <w:t>Acta Orthop Belg</w:t>
      </w:r>
      <w:r w:rsidRPr="00614ACB">
        <w:rPr>
          <w:rFonts w:ascii="Calibri" w:hAnsi="Calibri" w:cs="Times New Roman"/>
          <w:noProof/>
          <w:szCs w:val="24"/>
        </w:rPr>
        <w:t xml:space="preserve"> 2013;79:211–5.</w:t>
      </w:r>
    </w:p>
    <w:p w14:paraId="012C302F"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[22]</w:t>
      </w:r>
      <w:r w:rsidRPr="00614ACB">
        <w:rPr>
          <w:rFonts w:ascii="Calibri" w:hAnsi="Calibri" w:cs="Times New Roman"/>
          <w:noProof/>
          <w:szCs w:val="24"/>
        </w:rPr>
        <w:tab/>
        <w:t xml:space="preserve"> Cancienne JM, Werner BC, Loeb AE, et al. The Effect of Local Intraoperative Steroid Administration on the Rate of Postoperative Dysphagia Following ACDF: A Study of 245,754 Patients. </w:t>
      </w:r>
      <w:r w:rsidRPr="00614ACB">
        <w:rPr>
          <w:rFonts w:ascii="Calibri" w:hAnsi="Calibri" w:cs="Times New Roman"/>
          <w:i/>
          <w:iCs/>
          <w:noProof/>
          <w:szCs w:val="24"/>
        </w:rPr>
        <w:t>Spine (Phila Pa 1976)</w:t>
      </w:r>
      <w:r w:rsidRPr="00614ACB">
        <w:rPr>
          <w:rFonts w:ascii="Calibri" w:hAnsi="Calibri" w:cs="Times New Roman"/>
          <w:noProof/>
          <w:szCs w:val="24"/>
        </w:rPr>
        <w:t xml:space="preserve"> 2016;41:1084–8.</w:t>
      </w:r>
    </w:p>
    <w:p w14:paraId="174135E5"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[23]</w:t>
      </w:r>
      <w:r w:rsidRPr="00614ACB">
        <w:rPr>
          <w:rFonts w:ascii="Calibri" w:hAnsi="Calibri" w:cs="Times New Roman"/>
          <w:noProof/>
          <w:szCs w:val="24"/>
        </w:rPr>
        <w:tab/>
        <w:t xml:space="preserve"> Jeyamohan SB, Kenning TJ, Petronis KA, et al. Effect of steroid use in anterior cervical discectomy and fusion: a randomized controlled trial. </w:t>
      </w:r>
      <w:r w:rsidRPr="00614ACB">
        <w:rPr>
          <w:rFonts w:ascii="Calibri" w:hAnsi="Calibri" w:cs="Times New Roman"/>
          <w:i/>
          <w:iCs/>
          <w:noProof/>
          <w:szCs w:val="24"/>
        </w:rPr>
        <w:t>J neurosurgerySpine</w:t>
      </w:r>
      <w:r w:rsidRPr="00614ACB">
        <w:rPr>
          <w:rFonts w:ascii="Calibri" w:hAnsi="Calibri" w:cs="Times New Roman"/>
          <w:noProof/>
          <w:szCs w:val="24"/>
        </w:rPr>
        <w:t xml:space="preserve"> 2015;23:137–43.</w:t>
      </w:r>
    </w:p>
    <w:p w14:paraId="3BBD5C39"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[24]</w:t>
      </w:r>
      <w:r w:rsidRPr="00614ACB">
        <w:rPr>
          <w:rFonts w:ascii="Calibri" w:hAnsi="Calibri" w:cs="Times New Roman"/>
          <w:noProof/>
          <w:szCs w:val="24"/>
        </w:rPr>
        <w:tab/>
        <w:t xml:space="preserve"> Mchorney CA, Bricker DE, Kramer AE, et al. The SWAL-QOL Outcomes Tool for Oropharyngeal Dysphagia in Adults : I . Conceptual Foundation and Item Development 2000;121:115–21.</w:t>
      </w:r>
    </w:p>
    <w:p w14:paraId="6A87C75D" w14:textId="77777777" w:rsidR="00614ACB" w:rsidRPr="00614ACB" w:rsidRDefault="00614ACB" w:rsidP="00614ACB">
      <w:pPr>
        <w:widowControl w:val="0"/>
        <w:autoSpaceDE w:val="0"/>
        <w:autoSpaceDN w:val="0"/>
        <w:adjustRightInd w:val="0"/>
        <w:spacing w:line="240" w:lineRule="auto"/>
        <w:ind w:left="640" w:hanging="640"/>
        <w:rPr>
          <w:rFonts w:ascii="Calibri" w:hAnsi="Calibri" w:cs="Times New Roman"/>
          <w:noProof/>
          <w:szCs w:val="24"/>
        </w:rPr>
      </w:pPr>
      <w:r w:rsidRPr="00614ACB">
        <w:rPr>
          <w:rFonts w:ascii="Calibri" w:hAnsi="Calibri" w:cs="Times New Roman"/>
          <w:noProof/>
          <w:szCs w:val="24"/>
        </w:rPr>
        <w:t>[25]</w:t>
      </w:r>
      <w:r w:rsidRPr="00614ACB">
        <w:rPr>
          <w:rFonts w:ascii="Calibri" w:hAnsi="Calibri" w:cs="Times New Roman"/>
          <w:noProof/>
          <w:szCs w:val="24"/>
        </w:rPr>
        <w:tab/>
        <w:t xml:space="preserve"> Belafsky PC, Mouadeb DA, Rees CJ, et al. Validity and Reliability of the Eating Assessment Tool (EAT-10). </w:t>
      </w:r>
      <w:r w:rsidRPr="00614ACB">
        <w:rPr>
          <w:rFonts w:ascii="Calibri" w:hAnsi="Calibri" w:cs="Times New Roman"/>
          <w:i/>
          <w:iCs/>
          <w:noProof/>
          <w:szCs w:val="24"/>
        </w:rPr>
        <w:t>Ann Otol Rhinol Laryngol</w:t>
      </w:r>
      <w:r w:rsidRPr="00614ACB">
        <w:rPr>
          <w:rFonts w:ascii="Calibri" w:hAnsi="Calibri" w:cs="Times New Roman"/>
          <w:noProof/>
          <w:szCs w:val="24"/>
        </w:rPr>
        <w:t xml:space="preserve"> 2008;117:919–24.</w:t>
      </w:r>
    </w:p>
    <w:p w14:paraId="75F83C68" w14:textId="77777777" w:rsidR="00614ACB" w:rsidRPr="00614ACB" w:rsidRDefault="00614ACB" w:rsidP="00614ACB">
      <w:pPr>
        <w:widowControl w:val="0"/>
        <w:autoSpaceDE w:val="0"/>
        <w:autoSpaceDN w:val="0"/>
        <w:adjustRightInd w:val="0"/>
        <w:spacing w:line="240" w:lineRule="auto"/>
        <w:ind w:left="640" w:hanging="640"/>
        <w:rPr>
          <w:rFonts w:ascii="Calibri" w:hAnsi="Calibri"/>
          <w:noProof/>
        </w:rPr>
      </w:pPr>
      <w:r w:rsidRPr="00614ACB">
        <w:rPr>
          <w:rFonts w:ascii="Calibri" w:hAnsi="Calibri" w:cs="Times New Roman"/>
          <w:noProof/>
          <w:szCs w:val="24"/>
        </w:rPr>
        <w:t>[26]</w:t>
      </w:r>
      <w:r w:rsidRPr="00614ACB">
        <w:rPr>
          <w:rFonts w:ascii="Calibri" w:hAnsi="Calibri" w:cs="Times New Roman"/>
          <w:noProof/>
          <w:szCs w:val="24"/>
        </w:rPr>
        <w:tab/>
        <w:t xml:space="preserve"> Rofes L, Arreola V, Mukherjee R, et al. Sensitivity and specificity of the Eating Assessment Tool and the Volume-Viscosity Swallow Test for clinical evaluation of oropharyngeal dysphagia. </w:t>
      </w:r>
      <w:r w:rsidRPr="00614ACB">
        <w:rPr>
          <w:rFonts w:ascii="Calibri" w:hAnsi="Calibri" w:cs="Times New Roman"/>
          <w:i/>
          <w:iCs/>
          <w:noProof/>
          <w:szCs w:val="24"/>
        </w:rPr>
        <w:t>Neurogastroenterol Motil</w:t>
      </w:r>
      <w:r w:rsidRPr="00614ACB">
        <w:rPr>
          <w:rFonts w:ascii="Calibri" w:hAnsi="Calibri" w:cs="Times New Roman"/>
          <w:noProof/>
          <w:szCs w:val="24"/>
        </w:rPr>
        <w:t xml:space="preserve"> 2014;26:1256–65.</w:t>
      </w:r>
    </w:p>
    <w:p w14:paraId="3A82B15F" w14:textId="6F370587" w:rsidR="00ED1DBF" w:rsidRDefault="00ED1DBF" w:rsidP="00614ACB">
      <w:pPr>
        <w:widowControl w:val="0"/>
        <w:autoSpaceDE w:val="0"/>
        <w:autoSpaceDN w:val="0"/>
        <w:adjustRightInd w:val="0"/>
        <w:spacing w:line="240" w:lineRule="auto"/>
        <w:ind w:left="640" w:hanging="640"/>
      </w:pPr>
      <w:r>
        <w:fldChar w:fldCharType="end"/>
      </w:r>
    </w:p>
    <w:sectPr w:rsidR="00ED1DBF" w:rsidSect="002A4E69">
      <w:pgSz w:w="12240" w:h="15840"/>
      <w:pgMar w:top="1440" w:right="1440" w:bottom="1440" w:left="1440" w:header="720" w:footer="720" w:gutter="0"/>
      <w:lnNumType w:countBy="1"/>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6C9C80" w15:done="0"/>
  <w15:commentEx w15:paraId="43BCBED4" w15:done="0"/>
  <w15:commentEx w15:paraId="3AF1AD2C" w15:done="0"/>
  <w15:commentEx w15:paraId="648D48E0" w15:done="0"/>
  <w15:commentEx w15:paraId="65606BB2" w15:done="0"/>
  <w15:commentEx w15:paraId="4CF52DEA" w15:done="0"/>
  <w15:commentEx w15:paraId="1B3195B0" w15:done="0"/>
  <w15:commentEx w15:paraId="58485262" w15:done="0"/>
  <w15:commentEx w15:paraId="698D6472" w15:done="0"/>
  <w15:commentEx w15:paraId="24F48C17" w15:done="0"/>
  <w15:commentEx w15:paraId="70536A5D" w15:done="0"/>
  <w15:commentEx w15:paraId="15112D32" w15:done="0"/>
  <w15:commentEx w15:paraId="4B2462C7" w15:done="0"/>
  <w15:commentEx w15:paraId="4DEE42D6" w15:done="0"/>
  <w15:commentEx w15:paraId="3103C267" w15:done="0"/>
  <w15:commentEx w15:paraId="4886DDB7" w15:done="0"/>
  <w15:commentEx w15:paraId="78F484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9CA51" w14:textId="77777777" w:rsidR="0068101D" w:rsidRDefault="0068101D" w:rsidP="006165A1">
      <w:r>
        <w:separator/>
      </w:r>
    </w:p>
  </w:endnote>
  <w:endnote w:type="continuationSeparator" w:id="0">
    <w:p w14:paraId="5A019925" w14:textId="77777777" w:rsidR="0068101D" w:rsidRDefault="0068101D" w:rsidP="0061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403829"/>
      <w:docPartObj>
        <w:docPartGallery w:val="Page Numbers (Bottom of Page)"/>
        <w:docPartUnique/>
      </w:docPartObj>
    </w:sdtPr>
    <w:sdtEndPr/>
    <w:sdtContent>
      <w:sdt>
        <w:sdtPr>
          <w:id w:val="2037081460"/>
          <w:docPartObj>
            <w:docPartGallery w:val="Page Numbers (Top of Page)"/>
            <w:docPartUnique/>
          </w:docPartObj>
        </w:sdtPr>
        <w:sdtEndPr/>
        <w:sdtContent>
          <w:p w14:paraId="6E8DA6E1" w14:textId="77777777" w:rsidR="0068101D" w:rsidRDefault="0068101D">
            <w:pPr>
              <w:pStyle w:val="Footer"/>
              <w:jc w:val="right"/>
            </w:pPr>
            <w:r>
              <w:t xml:space="preserve">Page </w:t>
            </w:r>
            <w:r>
              <w:rPr>
                <w:b/>
                <w:bCs/>
                <w:sz w:val="24"/>
                <w:szCs w:val="24"/>
              </w:rPr>
              <w:fldChar w:fldCharType="begin"/>
            </w:r>
            <w:r w:rsidRPr="00A172A1">
              <w:rPr>
                <w:b/>
                <w:bCs/>
              </w:rPr>
              <w:instrText xml:space="preserve"> PAGE </w:instrText>
            </w:r>
            <w:r>
              <w:rPr>
                <w:b/>
                <w:bCs/>
                <w:sz w:val="24"/>
                <w:szCs w:val="24"/>
              </w:rPr>
              <w:fldChar w:fldCharType="separate"/>
            </w:r>
            <w:r w:rsidR="00ED7E9D">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7E9D">
              <w:rPr>
                <w:b/>
                <w:bCs/>
                <w:noProof/>
              </w:rPr>
              <w:t>18</w:t>
            </w:r>
            <w:r>
              <w:rPr>
                <w:b/>
                <w:bCs/>
                <w:sz w:val="24"/>
                <w:szCs w:val="24"/>
              </w:rPr>
              <w:fldChar w:fldCharType="end"/>
            </w:r>
          </w:p>
        </w:sdtContent>
      </w:sdt>
    </w:sdtContent>
  </w:sdt>
  <w:p w14:paraId="4B47F9CD" w14:textId="77777777" w:rsidR="0068101D" w:rsidRDefault="00681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B03DA" w14:textId="77777777" w:rsidR="0068101D" w:rsidRDefault="0068101D" w:rsidP="006165A1">
      <w:r>
        <w:separator/>
      </w:r>
    </w:p>
  </w:footnote>
  <w:footnote w:type="continuationSeparator" w:id="0">
    <w:p w14:paraId="592DD8F4" w14:textId="77777777" w:rsidR="0068101D" w:rsidRDefault="0068101D" w:rsidP="00616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6AF1"/>
    <w:multiLevelType w:val="hybridMultilevel"/>
    <w:tmpl w:val="C0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D6A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D80E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F9A7E5F"/>
    <w:multiLevelType w:val="hybridMultilevel"/>
    <w:tmpl w:val="B6546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987D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8A639E0"/>
    <w:multiLevelType w:val="hybridMultilevel"/>
    <w:tmpl w:val="EC1C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E40B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31152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F83028"/>
    <w:multiLevelType w:val="hybridMultilevel"/>
    <w:tmpl w:val="55C03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5"/>
  </w:num>
  <w:num w:numId="4">
    <w:abstractNumId w:val="2"/>
  </w:num>
  <w:num w:numId="5">
    <w:abstractNumId w:val="0"/>
  </w:num>
  <w:num w:numId="6">
    <w:abstractNumId w:val="4"/>
  </w:num>
  <w:num w:numId="7">
    <w:abstractNumId w:val="6"/>
  </w:num>
  <w:num w:numId="8">
    <w:abstractNumId w:val="7"/>
  </w:num>
  <w:num w:numId="9">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jbir Singh Pannu">
    <w15:presenceInfo w15:providerId="None" w15:userId="Tejbir Singh Pann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E7"/>
    <w:rsid w:val="00021E81"/>
    <w:rsid w:val="00022593"/>
    <w:rsid w:val="0003301F"/>
    <w:rsid w:val="000B54F1"/>
    <w:rsid w:val="00110DF4"/>
    <w:rsid w:val="0013110A"/>
    <w:rsid w:val="001342CE"/>
    <w:rsid w:val="00185405"/>
    <w:rsid w:val="001A0F0E"/>
    <w:rsid w:val="001B1EF5"/>
    <w:rsid w:val="001C3A16"/>
    <w:rsid w:val="001C56AD"/>
    <w:rsid w:val="001C73E5"/>
    <w:rsid w:val="001D0CAE"/>
    <w:rsid w:val="001D78B1"/>
    <w:rsid w:val="00200D74"/>
    <w:rsid w:val="002130A2"/>
    <w:rsid w:val="002141B9"/>
    <w:rsid w:val="00243400"/>
    <w:rsid w:val="00250386"/>
    <w:rsid w:val="00254E6A"/>
    <w:rsid w:val="00260248"/>
    <w:rsid w:val="00284EF6"/>
    <w:rsid w:val="002A4044"/>
    <w:rsid w:val="002A4E69"/>
    <w:rsid w:val="002A7482"/>
    <w:rsid w:val="002E52CA"/>
    <w:rsid w:val="003023AB"/>
    <w:rsid w:val="003026C3"/>
    <w:rsid w:val="0033134F"/>
    <w:rsid w:val="00340690"/>
    <w:rsid w:val="0034199E"/>
    <w:rsid w:val="00371802"/>
    <w:rsid w:val="00377C3D"/>
    <w:rsid w:val="00377C8F"/>
    <w:rsid w:val="0038341F"/>
    <w:rsid w:val="00387C16"/>
    <w:rsid w:val="00391951"/>
    <w:rsid w:val="00392DD7"/>
    <w:rsid w:val="003A2408"/>
    <w:rsid w:val="003A3B1C"/>
    <w:rsid w:val="003B1FEA"/>
    <w:rsid w:val="003B2744"/>
    <w:rsid w:val="003C27C4"/>
    <w:rsid w:val="003E5B63"/>
    <w:rsid w:val="003F0050"/>
    <w:rsid w:val="00400600"/>
    <w:rsid w:val="004034C0"/>
    <w:rsid w:val="004100FE"/>
    <w:rsid w:val="00413CD8"/>
    <w:rsid w:val="00416F5F"/>
    <w:rsid w:val="00452046"/>
    <w:rsid w:val="00457D22"/>
    <w:rsid w:val="00465D2A"/>
    <w:rsid w:val="00486854"/>
    <w:rsid w:val="00490125"/>
    <w:rsid w:val="0049021A"/>
    <w:rsid w:val="00494555"/>
    <w:rsid w:val="004B0F85"/>
    <w:rsid w:val="004B6C14"/>
    <w:rsid w:val="004D0615"/>
    <w:rsid w:val="004E32F2"/>
    <w:rsid w:val="004E72A5"/>
    <w:rsid w:val="004F5161"/>
    <w:rsid w:val="00531D22"/>
    <w:rsid w:val="00532530"/>
    <w:rsid w:val="00535315"/>
    <w:rsid w:val="005409E7"/>
    <w:rsid w:val="00541BF7"/>
    <w:rsid w:val="005B3BAE"/>
    <w:rsid w:val="005D010A"/>
    <w:rsid w:val="005F01A7"/>
    <w:rsid w:val="006075AC"/>
    <w:rsid w:val="00614ACB"/>
    <w:rsid w:val="006165A1"/>
    <w:rsid w:val="0062689C"/>
    <w:rsid w:val="006465AD"/>
    <w:rsid w:val="00647C24"/>
    <w:rsid w:val="00650C05"/>
    <w:rsid w:val="00653E8D"/>
    <w:rsid w:val="00661A7D"/>
    <w:rsid w:val="00676515"/>
    <w:rsid w:val="0068101D"/>
    <w:rsid w:val="00694512"/>
    <w:rsid w:val="006B08D2"/>
    <w:rsid w:val="006B6E74"/>
    <w:rsid w:val="006D2877"/>
    <w:rsid w:val="006D3C10"/>
    <w:rsid w:val="006E0D56"/>
    <w:rsid w:val="006E41FF"/>
    <w:rsid w:val="006F3584"/>
    <w:rsid w:val="00732F7A"/>
    <w:rsid w:val="007516CC"/>
    <w:rsid w:val="007641DE"/>
    <w:rsid w:val="00771710"/>
    <w:rsid w:val="00783BF4"/>
    <w:rsid w:val="007A2238"/>
    <w:rsid w:val="007A6B76"/>
    <w:rsid w:val="007C63F9"/>
    <w:rsid w:val="007D08BC"/>
    <w:rsid w:val="007D6913"/>
    <w:rsid w:val="0081134F"/>
    <w:rsid w:val="00812DB5"/>
    <w:rsid w:val="008179BD"/>
    <w:rsid w:val="008202FE"/>
    <w:rsid w:val="00856563"/>
    <w:rsid w:val="0086230A"/>
    <w:rsid w:val="00880E4F"/>
    <w:rsid w:val="00890C05"/>
    <w:rsid w:val="00894739"/>
    <w:rsid w:val="008A062B"/>
    <w:rsid w:val="008A315B"/>
    <w:rsid w:val="008A72E1"/>
    <w:rsid w:val="008B3C60"/>
    <w:rsid w:val="008F705C"/>
    <w:rsid w:val="00915145"/>
    <w:rsid w:val="00920361"/>
    <w:rsid w:val="00993B25"/>
    <w:rsid w:val="009A0627"/>
    <w:rsid w:val="009A1644"/>
    <w:rsid w:val="009A6BC5"/>
    <w:rsid w:val="009B4002"/>
    <w:rsid w:val="009C1544"/>
    <w:rsid w:val="009F00F2"/>
    <w:rsid w:val="009F10AD"/>
    <w:rsid w:val="009F1236"/>
    <w:rsid w:val="00A05D51"/>
    <w:rsid w:val="00A172A1"/>
    <w:rsid w:val="00A239BD"/>
    <w:rsid w:val="00A403CC"/>
    <w:rsid w:val="00A525A3"/>
    <w:rsid w:val="00A63977"/>
    <w:rsid w:val="00A829E4"/>
    <w:rsid w:val="00A946E6"/>
    <w:rsid w:val="00AA143D"/>
    <w:rsid w:val="00AB2236"/>
    <w:rsid w:val="00AC5ACC"/>
    <w:rsid w:val="00B17286"/>
    <w:rsid w:val="00BB2478"/>
    <w:rsid w:val="00BF29CF"/>
    <w:rsid w:val="00C0281A"/>
    <w:rsid w:val="00C05C92"/>
    <w:rsid w:val="00C3345A"/>
    <w:rsid w:val="00C42DAF"/>
    <w:rsid w:val="00C51AEB"/>
    <w:rsid w:val="00C610F4"/>
    <w:rsid w:val="00C651CA"/>
    <w:rsid w:val="00CB1850"/>
    <w:rsid w:val="00CC430F"/>
    <w:rsid w:val="00D222FB"/>
    <w:rsid w:val="00D26E69"/>
    <w:rsid w:val="00D30028"/>
    <w:rsid w:val="00D30DFD"/>
    <w:rsid w:val="00D313B7"/>
    <w:rsid w:val="00D47C41"/>
    <w:rsid w:val="00D83CFC"/>
    <w:rsid w:val="00D85E7C"/>
    <w:rsid w:val="00D95A7D"/>
    <w:rsid w:val="00DB78A3"/>
    <w:rsid w:val="00DD29EC"/>
    <w:rsid w:val="00E12259"/>
    <w:rsid w:val="00E25E75"/>
    <w:rsid w:val="00E71446"/>
    <w:rsid w:val="00E715C9"/>
    <w:rsid w:val="00E7197B"/>
    <w:rsid w:val="00E9120A"/>
    <w:rsid w:val="00EC125B"/>
    <w:rsid w:val="00ED1DBF"/>
    <w:rsid w:val="00ED7E9D"/>
    <w:rsid w:val="00EE08FD"/>
    <w:rsid w:val="00F01972"/>
    <w:rsid w:val="00F17545"/>
    <w:rsid w:val="00F210FB"/>
    <w:rsid w:val="00F21BF6"/>
    <w:rsid w:val="00F3181D"/>
    <w:rsid w:val="00F73C49"/>
    <w:rsid w:val="00F820FE"/>
    <w:rsid w:val="00F94000"/>
    <w:rsid w:val="00F9644C"/>
    <w:rsid w:val="00FD505C"/>
    <w:rsid w:val="00FE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145"/>
    <w:pPr>
      <w:spacing w:line="480" w:lineRule="auto"/>
      <w:jc w:val="both"/>
    </w:pPr>
  </w:style>
  <w:style w:type="paragraph" w:styleId="Heading1">
    <w:name w:val="heading 1"/>
    <w:basedOn w:val="Normal"/>
    <w:next w:val="Normal"/>
    <w:link w:val="Heading1Char"/>
    <w:uiPriority w:val="9"/>
    <w:qFormat/>
    <w:rsid w:val="008A062B"/>
    <w:pPr>
      <w:keepNext/>
      <w:keepLines/>
      <w:pBdr>
        <w:bottom w:val="single" w:sz="4" w:space="1" w:color="auto"/>
      </w:pBd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5145"/>
    <w:pPr>
      <w:keepNext/>
      <w:keepLines/>
      <w:spacing w:before="200" w:after="0" w:line="360" w:lineRule="auto"/>
      <w:outlineLvl w:val="1"/>
    </w:pPr>
    <w:rPr>
      <w:rFonts w:ascii="Calibri" w:eastAsiaTheme="majorEastAsia" w:hAnsi="Calibri" w:cstheme="majorBidi"/>
      <w:b/>
      <w:bCs/>
      <w:smallCaps/>
      <w:color w:val="000000" w:themeColor="text1"/>
      <w:sz w:val="24"/>
      <w:szCs w:val="26"/>
      <w:shd w:val="clear" w:color="auto" w:fill="FFFFFF"/>
    </w:rPr>
  </w:style>
  <w:style w:type="paragraph" w:styleId="Heading3">
    <w:name w:val="heading 3"/>
    <w:basedOn w:val="Normal"/>
    <w:next w:val="Normal"/>
    <w:link w:val="Heading3Char"/>
    <w:uiPriority w:val="9"/>
    <w:unhideWhenUsed/>
    <w:qFormat/>
    <w:rsid w:val="006165A1"/>
    <w:pPr>
      <w:spacing w:after="0"/>
      <w:outlineLvl w:val="2"/>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0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3F9"/>
    <w:rPr>
      <w:color w:val="808080"/>
    </w:rPr>
  </w:style>
  <w:style w:type="paragraph" w:styleId="BalloonText">
    <w:name w:val="Balloon Text"/>
    <w:basedOn w:val="Normal"/>
    <w:link w:val="BalloonTextChar"/>
    <w:uiPriority w:val="99"/>
    <w:semiHidden/>
    <w:unhideWhenUsed/>
    <w:rsid w:val="007C6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3F9"/>
    <w:rPr>
      <w:rFonts w:ascii="Tahoma" w:hAnsi="Tahoma" w:cs="Tahoma"/>
      <w:sz w:val="16"/>
      <w:szCs w:val="16"/>
    </w:rPr>
  </w:style>
  <w:style w:type="paragraph" w:styleId="ListParagraph">
    <w:name w:val="List Paragraph"/>
    <w:basedOn w:val="Normal"/>
    <w:uiPriority w:val="34"/>
    <w:qFormat/>
    <w:rsid w:val="00486854"/>
    <w:pPr>
      <w:ind w:left="720"/>
      <w:contextualSpacing/>
    </w:pPr>
  </w:style>
  <w:style w:type="paragraph" w:styleId="FootnoteText">
    <w:name w:val="footnote text"/>
    <w:basedOn w:val="Normal"/>
    <w:link w:val="FootnoteTextChar"/>
    <w:uiPriority w:val="99"/>
    <w:unhideWhenUsed/>
    <w:rsid w:val="00486854"/>
    <w:pPr>
      <w:spacing w:after="0" w:line="240" w:lineRule="auto"/>
    </w:pPr>
    <w:rPr>
      <w:sz w:val="24"/>
      <w:szCs w:val="24"/>
    </w:rPr>
  </w:style>
  <w:style w:type="character" w:customStyle="1" w:styleId="FootnoteTextChar">
    <w:name w:val="Footnote Text Char"/>
    <w:basedOn w:val="DefaultParagraphFont"/>
    <w:link w:val="FootnoteText"/>
    <w:uiPriority w:val="99"/>
    <w:rsid w:val="00486854"/>
    <w:rPr>
      <w:sz w:val="24"/>
      <w:szCs w:val="24"/>
    </w:rPr>
  </w:style>
  <w:style w:type="character" w:styleId="FootnoteReference">
    <w:name w:val="footnote reference"/>
    <w:basedOn w:val="DefaultParagraphFont"/>
    <w:uiPriority w:val="99"/>
    <w:unhideWhenUsed/>
    <w:rsid w:val="00486854"/>
    <w:rPr>
      <w:vertAlign w:val="superscript"/>
    </w:rPr>
  </w:style>
  <w:style w:type="character" w:customStyle="1" w:styleId="apple-converted-space">
    <w:name w:val="apple-converted-space"/>
    <w:basedOn w:val="DefaultParagraphFont"/>
    <w:rsid w:val="00AC5ACC"/>
  </w:style>
  <w:style w:type="paragraph" w:styleId="Title">
    <w:name w:val="Title"/>
    <w:basedOn w:val="Normal"/>
    <w:next w:val="Normal"/>
    <w:link w:val="TitleChar"/>
    <w:uiPriority w:val="10"/>
    <w:qFormat/>
    <w:rsid w:val="003406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069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A062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40690"/>
    <w:rPr>
      <w:sz w:val="16"/>
      <w:szCs w:val="16"/>
    </w:rPr>
  </w:style>
  <w:style w:type="paragraph" w:styleId="CommentText">
    <w:name w:val="annotation text"/>
    <w:basedOn w:val="Normal"/>
    <w:link w:val="CommentTextChar"/>
    <w:uiPriority w:val="99"/>
    <w:unhideWhenUsed/>
    <w:rsid w:val="00340690"/>
    <w:pPr>
      <w:spacing w:line="240" w:lineRule="auto"/>
    </w:pPr>
    <w:rPr>
      <w:sz w:val="20"/>
      <w:szCs w:val="20"/>
    </w:rPr>
  </w:style>
  <w:style w:type="character" w:customStyle="1" w:styleId="CommentTextChar">
    <w:name w:val="Comment Text Char"/>
    <w:basedOn w:val="DefaultParagraphFont"/>
    <w:link w:val="CommentText"/>
    <w:uiPriority w:val="99"/>
    <w:rsid w:val="00340690"/>
    <w:rPr>
      <w:sz w:val="20"/>
      <w:szCs w:val="20"/>
    </w:rPr>
  </w:style>
  <w:style w:type="paragraph" w:styleId="CommentSubject">
    <w:name w:val="annotation subject"/>
    <w:basedOn w:val="CommentText"/>
    <w:next w:val="CommentText"/>
    <w:link w:val="CommentSubjectChar"/>
    <w:uiPriority w:val="99"/>
    <w:semiHidden/>
    <w:unhideWhenUsed/>
    <w:rsid w:val="00340690"/>
    <w:rPr>
      <w:b/>
      <w:bCs/>
    </w:rPr>
  </w:style>
  <w:style w:type="character" w:customStyle="1" w:styleId="CommentSubjectChar">
    <w:name w:val="Comment Subject Char"/>
    <w:basedOn w:val="CommentTextChar"/>
    <w:link w:val="CommentSubject"/>
    <w:uiPriority w:val="99"/>
    <w:semiHidden/>
    <w:rsid w:val="00340690"/>
    <w:rPr>
      <w:b/>
      <w:bCs/>
      <w:sz w:val="20"/>
      <w:szCs w:val="20"/>
    </w:rPr>
  </w:style>
  <w:style w:type="character" w:customStyle="1" w:styleId="Heading2Char">
    <w:name w:val="Heading 2 Char"/>
    <w:basedOn w:val="DefaultParagraphFont"/>
    <w:link w:val="Heading2"/>
    <w:uiPriority w:val="9"/>
    <w:rsid w:val="00915145"/>
    <w:rPr>
      <w:rFonts w:ascii="Calibri" w:eastAsiaTheme="majorEastAsia" w:hAnsi="Calibri" w:cstheme="majorBidi"/>
      <w:b/>
      <w:bCs/>
      <w:smallCaps/>
      <w:color w:val="000000" w:themeColor="text1"/>
      <w:sz w:val="24"/>
      <w:szCs w:val="26"/>
    </w:rPr>
  </w:style>
  <w:style w:type="character" w:customStyle="1" w:styleId="Heading3Char">
    <w:name w:val="Heading 3 Char"/>
    <w:basedOn w:val="DefaultParagraphFont"/>
    <w:link w:val="Heading3"/>
    <w:uiPriority w:val="9"/>
    <w:rsid w:val="006165A1"/>
    <w:rPr>
      <w:i/>
      <w:u w:val="single"/>
    </w:rPr>
  </w:style>
  <w:style w:type="table" w:styleId="LightGrid">
    <w:name w:val="Light Grid"/>
    <w:basedOn w:val="TableNormal"/>
    <w:uiPriority w:val="62"/>
    <w:rsid w:val="006945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33134F"/>
    <w:pPr>
      <w:spacing w:after="0" w:line="240" w:lineRule="auto"/>
    </w:pPr>
  </w:style>
  <w:style w:type="paragraph" w:styleId="Header">
    <w:name w:val="header"/>
    <w:basedOn w:val="Normal"/>
    <w:link w:val="HeaderChar"/>
    <w:uiPriority w:val="99"/>
    <w:unhideWhenUsed/>
    <w:rsid w:val="00A17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2A1"/>
  </w:style>
  <w:style w:type="paragraph" w:styleId="Footer">
    <w:name w:val="footer"/>
    <w:basedOn w:val="Normal"/>
    <w:link w:val="FooterChar"/>
    <w:uiPriority w:val="99"/>
    <w:unhideWhenUsed/>
    <w:rsid w:val="00A17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2A1"/>
  </w:style>
  <w:style w:type="character" w:styleId="LineNumber">
    <w:name w:val="line number"/>
    <w:basedOn w:val="DefaultParagraphFont"/>
    <w:uiPriority w:val="99"/>
    <w:semiHidden/>
    <w:unhideWhenUsed/>
    <w:rsid w:val="002A4E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145"/>
    <w:pPr>
      <w:spacing w:line="480" w:lineRule="auto"/>
      <w:jc w:val="both"/>
    </w:pPr>
  </w:style>
  <w:style w:type="paragraph" w:styleId="Heading1">
    <w:name w:val="heading 1"/>
    <w:basedOn w:val="Normal"/>
    <w:next w:val="Normal"/>
    <w:link w:val="Heading1Char"/>
    <w:uiPriority w:val="9"/>
    <w:qFormat/>
    <w:rsid w:val="008A062B"/>
    <w:pPr>
      <w:keepNext/>
      <w:keepLines/>
      <w:pBdr>
        <w:bottom w:val="single" w:sz="4" w:space="1" w:color="auto"/>
      </w:pBd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5145"/>
    <w:pPr>
      <w:keepNext/>
      <w:keepLines/>
      <w:spacing w:before="200" w:after="0" w:line="360" w:lineRule="auto"/>
      <w:outlineLvl w:val="1"/>
    </w:pPr>
    <w:rPr>
      <w:rFonts w:ascii="Calibri" w:eastAsiaTheme="majorEastAsia" w:hAnsi="Calibri" w:cstheme="majorBidi"/>
      <w:b/>
      <w:bCs/>
      <w:smallCaps/>
      <w:color w:val="000000" w:themeColor="text1"/>
      <w:sz w:val="24"/>
      <w:szCs w:val="26"/>
      <w:shd w:val="clear" w:color="auto" w:fill="FFFFFF"/>
    </w:rPr>
  </w:style>
  <w:style w:type="paragraph" w:styleId="Heading3">
    <w:name w:val="heading 3"/>
    <w:basedOn w:val="Normal"/>
    <w:next w:val="Normal"/>
    <w:link w:val="Heading3Char"/>
    <w:uiPriority w:val="9"/>
    <w:unhideWhenUsed/>
    <w:qFormat/>
    <w:rsid w:val="006165A1"/>
    <w:pPr>
      <w:spacing w:after="0"/>
      <w:outlineLvl w:val="2"/>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0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3F9"/>
    <w:rPr>
      <w:color w:val="808080"/>
    </w:rPr>
  </w:style>
  <w:style w:type="paragraph" w:styleId="BalloonText">
    <w:name w:val="Balloon Text"/>
    <w:basedOn w:val="Normal"/>
    <w:link w:val="BalloonTextChar"/>
    <w:uiPriority w:val="99"/>
    <w:semiHidden/>
    <w:unhideWhenUsed/>
    <w:rsid w:val="007C6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3F9"/>
    <w:rPr>
      <w:rFonts w:ascii="Tahoma" w:hAnsi="Tahoma" w:cs="Tahoma"/>
      <w:sz w:val="16"/>
      <w:szCs w:val="16"/>
    </w:rPr>
  </w:style>
  <w:style w:type="paragraph" w:styleId="ListParagraph">
    <w:name w:val="List Paragraph"/>
    <w:basedOn w:val="Normal"/>
    <w:uiPriority w:val="34"/>
    <w:qFormat/>
    <w:rsid w:val="00486854"/>
    <w:pPr>
      <w:ind w:left="720"/>
      <w:contextualSpacing/>
    </w:pPr>
  </w:style>
  <w:style w:type="paragraph" w:styleId="FootnoteText">
    <w:name w:val="footnote text"/>
    <w:basedOn w:val="Normal"/>
    <w:link w:val="FootnoteTextChar"/>
    <w:uiPriority w:val="99"/>
    <w:unhideWhenUsed/>
    <w:rsid w:val="00486854"/>
    <w:pPr>
      <w:spacing w:after="0" w:line="240" w:lineRule="auto"/>
    </w:pPr>
    <w:rPr>
      <w:sz w:val="24"/>
      <w:szCs w:val="24"/>
    </w:rPr>
  </w:style>
  <w:style w:type="character" w:customStyle="1" w:styleId="FootnoteTextChar">
    <w:name w:val="Footnote Text Char"/>
    <w:basedOn w:val="DefaultParagraphFont"/>
    <w:link w:val="FootnoteText"/>
    <w:uiPriority w:val="99"/>
    <w:rsid w:val="00486854"/>
    <w:rPr>
      <w:sz w:val="24"/>
      <w:szCs w:val="24"/>
    </w:rPr>
  </w:style>
  <w:style w:type="character" w:styleId="FootnoteReference">
    <w:name w:val="footnote reference"/>
    <w:basedOn w:val="DefaultParagraphFont"/>
    <w:uiPriority w:val="99"/>
    <w:unhideWhenUsed/>
    <w:rsid w:val="00486854"/>
    <w:rPr>
      <w:vertAlign w:val="superscript"/>
    </w:rPr>
  </w:style>
  <w:style w:type="character" w:customStyle="1" w:styleId="apple-converted-space">
    <w:name w:val="apple-converted-space"/>
    <w:basedOn w:val="DefaultParagraphFont"/>
    <w:rsid w:val="00AC5ACC"/>
  </w:style>
  <w:style w:type="paragraph" w:styleId="Title">
    <w:name w:val="Title"/>
    <w:basedOn w:val="Normal"/>
    <w:next w:val="Normal"/>
    <w:link w:val="TitleChar"/>
    <w:uiPriority w:val="10"/>
    <w:qFormat/>
    <w:rsid w:val="003406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069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A062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40690"/>
    <w:rPr>
      <w:sz w:val="16"/>
      <w:szCs w:val="16"/>
    </w:rPr>
  </w:style>
  <w:style w:type="paragraph" w:styleId="CommentText">
    <w:name w:val="annotation text"/>
    <w:basedOn w:val="Normal"/>
    <w:link w:val="CommentTextChar"/>
    <w:uiPriority w:val="99"/>
    <w:unhideWhenUsed/>
    <w:rsid w:val="00340690"/>
    <w:pPr>
      <w:spacing w:line="240" w:lineRule="auto"/>
    </w:pPr>
    <w:rPr>
      <w:sz w:val="20"/>
      <w:szCs w:val="20"/>
    </w:rPr>
  </w:style>
  <w:style w:type="character" w:customStyle="1" w:styleId="CommentTextChar">
    <w:name w:val="Comment Text Char"/>
    <w:basedOn w:val="DefaultParagraphFont"/>
    <w:link w:val="CommentText"/>
    <w:uiPriority w:val="99"/>
    <w:rsid w:val="00340690"/>
    <w:rPr>
      <w:sz w:val="20"/>
      <w:szCs w:val="20"/>
    </w:rPr>
  </w:style>
  <w:style w:type="paragraph" w:styleId="CommentSubject">
    <w:name w:val="annotation subject"/>
    <w:basedOn w:val="CommentText"/>
    <w:next w:val="CommentText"/>
    <w:link w:val="CommentSubjectChar"/>
    <w:uiPriority w:val="99"/>
    <w:semiHidden/>
    <w:unhideWhenUsed/>
    <w:rsid w:val="00340690"/>
    <w:rPr>
      <w:b/>
      <w:bCs/>
    </w:rPr>
  </w:style>
  <w:style w:type="character" w:customStyle="1" w:styleId="CommentSubjectChar">
    <w:name w:val="Comment Subject Char"/>
    <w:basedOn w:val="CommentTextChar"/>
    <w:link w:val="CommentSubject"/>
    <w:uiPriority w:val="99"/>
    <w:semiHidden/>
    <w:rsid w:val="00340690"/>
    <w:rPr>
      <w:b/>
      <w:bCs/>
      <w:sz w:val="20"/>
      <w:szCs w:val="20"/>
    </w:rPr>
  </w:style>
  <w:style w:type="character" w:customStyle="1" w:styleId="Heading2Char">
    <w:name w:val="Heading 2 Char"/>
    <w:basedOn w:val="DefaultParagraphFont"/>
    <w:link w:val="Heading2"/>
    <w:uiPriority w:val="9"/>
    <w:rsid w:val="00915145"/>
    <w:rPr>
      <w:rFonts w:ascii="Calibri" w:eastAsiaTheme="majorEastAsia" w:hAnsi="Calibri" w:cstheme="majorBidi"/>
      <w:b/>
      <w:bCs/>
      <w:smallCaps/>
      <w:color w:val="000000" w:themeColor="text1"/>
      <w:sz w:val="24"/>
      <w:szCs w:val="26"/>
    </w:rPr>
  </w:style>
  <w:style w:type="character" w:customStyle="1" w:styleId="Heading3Char">
    <w:name w:val="Heading 3 Char"/>
    <w:basedOn w:val="DefaultParagraphFont"/>
    <w:link w:val="Heading3"/>
    <w:uiPriority w:val="9"/>
    <w:rsid w:val="006165A1"/>
    <w:rPr>
      <w:i/>
      <w:u w:val="single"/>
    </w:rPr>
  </w:style>
  <w:style w:type="table" w:styleId="LightGrid">
    <w:name w:val="Light Grid"/>
    <w:basedOn w:val="TableNormal"/>
    <w:uiPriority w:val="62"/>
    <w:rsid w:val="006945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33134F"/>
    <w:pPr>
      <w:spacing w:after="0" w:line="240" w:lineRule="auto"/>
    </w:pPr>
  </w:style>
  <w:style w:type="paragraph" w:styleId="Header">
    <w:name w:val="header"/>
    <w:basedOn w:val="Normal"/>
    <w:link w:val="HeaderChar"/>
    <w:uiPriority w:val="99"/>
    <w:unhideWhenUsed/>
    <w:rsid w:val="00A17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2A1"/>
  </w:style>
  <w:style w:type="paragraph" w:styleId="Footer">
    <w:name w:val="footer"/>
    <w:basedOn w:val="Normal"/>
    <w:link w:val="FooterChar"/>
    <w:uiPriority w:val="99"/>
    <w:unhideWhenUsed/>
    <w:rsid w:val="00A17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2A1"/>
  </w:style>
  <w:style w:type="character" w:styleId="LineNumber">
    <w:name w:val="line number"/>
    <w:basedOn w:val="DefaultParagraphFont"/>
    <w:uiPriority w:val="99"/>
    <w:semiHidden/>
    <w:unhideWhenUsed/>
    <w:rsid w:val="002A4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2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D0D49-9B6A-45EB-9612-48D80D63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27187</Words>
  <Characters>154968</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 Daniel</dc:creator>
  <cp:lastModifiedBy>Virginie Lafage</cp:lastModifiedBy>
  <cp:revision>4</cp:revision>
  <dcterms:created xsi:type="dcterms:W3CDTF">2017-06-16T18:20:00Z</dcterms:created>
  <dcterms:modified xsi:type="dcterms:W3CDTF">2017-06-16T18:27:00Z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http://csl.mendeley.com/styles/24510581/spine-deformity-nyu</vt:lpwstr>
  </property>
  <property fmtid="{D5CDD505-2E9C-101B-9397-08002B2CF9AE}" pid="21" name="Mendeley Recent Style Name 9_1">
    <vt:lpwstr>Spine Deformity - Spinelab NYU</vt:lpwstr>
  </property>
  <property fmtid="{D5CDD505-2E9C-101B-9397-08002B2CF9AE}" pid="22" name="Mendeley Document_1">
    <vt:lpwstr>True</vt:lpwstr>
  </property>
  <property fmtid="{D5CDD505-2E9C-101B-9397-08002B2CF9AE}" pid="23" name="Mendeley Unique User Id_1">
    <vt:lpwstr>b1a38f15-71c2-36a0-be58-6e68d8c885b1</vt:lpwstr>
  </property>
  <property fmtid="{D5CDD505-2E9C-101B-9397-08002B2CF9AE}" pid="24" name="Mendeley Citation Style_1">
    <vt:lpwstr>http://csl.mendeley.com/styles/24510581/spine-deformity-nyu</vt:lpwstr>
  </property>
</Properties>
</file>