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B1088" w14:textId="77777777" w:rsidR="00030AAD" w:rsidRPr="00030AAD" w:rsidRDefault="00030AAD" w:rsidP="00030AAD">
      <w:pPr>
        <w:spacing w:line="240" w:lineRule="auto"/>
        <w:rPr>
          <w:rFonts w:ascii="Times New Roman" w:eastAsia="Times New Roman" w:hAnsi="Times New Roman" w:cs="Times New Roman"/>
          <w:b/>
          <w:color w:val="333333"/>
          <w:sz w:val="24"/>
          <w:szCs w:val="24"/>
        </w:rPr>
      </w:pPr>
      <w:bookmarkStart w:id="0" w:name="_Hlk485337447"/>
      <w:bookmarkEnd w:id="0"/>
      <w:r w:rsidRPr="00030AAD">
        <w:rPr>
          <w:rFonts w:ascii="Times New Roman" w:eastAsia="Times New Roman" w:hAnsi="Times New Roman" w:cs="Times New Roman"/>
          <w:b/>
          <w:color w:val="333333"/>
          <w:sz w:val="24"/>
          <w:szCs w:val="24"/>
        </w:rPr>
        <w:t>Locally Applied Simvastatin as an Adjunct to Promote Spinal Fusion in Rats</w:t>
      </w:r>
    </w:p>
    <w:p w14:paraId="0914E821" w14:textId="1FA93FD2" w:rsidR="00030AAD" w:rsidRPr="00030AAD" w:rsidRDefault="00030AAD" w:rsidP="00030AAD">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iCs/>
          <w:color w:val="333333"/>
          <w:spacing w:val="-15"/>
          <w:sz w:val="24"/>
          <w:szCs w:val="24"/>
        </w:rPr>
        <w:t>Sravisht Iyer</w:t>
      </w:r>
      <w:r w:rsidRPr="00030AAD">
        <w:rPr>
          <w:rFonts w:ascii="Times New Roman" w:eastAsia="Times New Roman" w:hAnsi="Times New Roman" w:cs="Times New Roman"/>
          <w:iCs/>
          <w:color w:val="333333"/>
          <w:spacing w:val="-15"/>
          <w:sz w:val="24"/>
          <w:szCs w:val="24"/>
          <w:vertAlign w:val="superscript"/>
        </w:rPr>
        <w:t>1</w:t>
      </w:r>
      <w:r w:rsidRPr="00030AAD">
        <w:rPr>
          <w:rFonts w:ascii="Times New Roman" w:eastAsia="Times New Roman" w:hAnsi="Times New Roman" w:cs="Times New Roman"/>
          <w:color w:val="333333"/>
          <w:sz w:val="24"/>
          <w:szCs w:val="24"/>
        </w:rPr>
        <w:t>, Patrick, E Donnelly</w:t>
      </w:r>
      <w:r w:rsidRPr="00030AAD">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rPr>
        <w:t>, George Spaniel</w:t>
      </w:r>
      <w:r w:rsidRPr="00030AAD">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rPr>
        <w:t xml:space="preserve">, </w:t>
      </w:r>
      <w:r w:rsidRPr="00030AAD">
        <w:rPr>
          <w:rFonts w:ascii="Times New Roman" w:eastAsia="Times New Roman" w:hAnsi="Times New Roman" w:cs="Times New Roman"/>
          <w:i/>
          <w:color w:val="333333"/>
          <w:sz w:val="24"/>
          <w:szCs w:val="24"/>
          <w:u w:val="single"/>
        </w:rPr>
        <w:t>Matthew E. Cunningham</w:t>
      </w:r>
      <w:r w:rsidRPr="00030AAD">
        <w:rPr>
          <w:rFonts w:ascii="Times New Roman" w:eastAsia="Times New Roman" w:hAnsi="Times New Roman" w:cs="Times New Roman"/>
          <w:i/>
          <w:color w:val="333333"/>
          <w:sz w:val="24"/>
          <w:szCs w:val="24"/>
          <w:u w:val="single"/>
          <w:vertAlign w:val="superscript"/>
        </w:rPr>
        <w:t>1</w:t>
      </w:r>
    </w:p>
    <w:p w14:paraId="29EA283E" w14:textId="77777777" w:rsidR="00B25C27" w:rsidRDefault="00B25C27" w:rsidP="00030AAD">
      <w:pPr>
        <w:spacing w:line="240" w:lineRule="auto"/>
        <w:rPr>
          <w:rFonts w:ascii="Times New Roman" w:eastAsia="Times New Roman" w:hAnsi="Times New Roman" w:cs="Times New Roman"/>
          <w:i/>
          <w:iCs/>
          <w:color w:val="333333"/>
          <w:spacing w:val="-15"/>
          <w:sz w:val="20"/>
          <w:szCs w:val="24"/>
          <w:vertAlign w:val="superscript"/>
        </w:rPr>
      </w:pPr>
      <w:bookmarkStart w:id="1" w:name="_GoBack"/>
      <w:bookmarkEnd w:id="1"/>
    </w:p>
    <w:p w14:paraId="0219F1F7" w14:textId="1CC76E96" w:rsidR="00030AAD" w:rsidRDefault="00030AAD" w:rsidP="00030AAD">
      <w:pPr>
        <w:spacing w:line="240" w:lineRule="auto"/>
        <w:rPr>
          <w:rFonts w:ascii="Times New Roman" w:eastAsia="Times New Roman" w:hAnsi="Times New Roman" w:cs="Times New Roman"/>
          <w:color w:val="333333"/>
          <w:sz w:val="20"/>
          <w:szCs w:val="24"/>
        </w:rPr>
      </w:pPr>
      <w:r w:rsidRPr="004B7008">
        <w:rPr>
          <w:rFonts w:ascii="Times New Roman" w:eastAsia="Times New Roman" w:hAnsi="Times New Roman" w:cs="Times New Roman"/>
          <w:i/>
          <w:iCs/>
          <w:color w:val="333333"/>
          <w:spacing w:val="-15"/>
          <w:sz w:val="20"/>
          <w:szCs w:val="24"/>
          <w:vertAlign w:val="superscript"/>
        </w:rPr>
        <w:t>1</w:t>
      </w:r>
      <w:r w:rsidRPr="004B7008">
        <w:rPr>
          <w:rFonts w:ascii="Times New Roman" w:eastAsia="Times New Roman" w:hAnsi="Times New Roman" w:cs="Times New Roman"/>
          <w:color w:val="333333"/>
          <w:sz w:val="20"/>
          <w:szCs w:val="24"/>
        </w:rPr>
        <w:t>Hospital for Special</w:t>
      </w:r>
      <w:r w:rsidRPr="004B7008">
        <w:rPr>
          <w:rFonts w:ascii="Times New Roman" w:eastAsia="Times New Roman" w:hAnsi="Times New Roman" w:cs="Times New Roman"/>
          <w:color w:val="333333"/>
          <w:sz w:val="20"/>
          <w:szCs w:val="24"/>
        </w:rPr>
        <w:t xml:space="preserve"> Surgery, New York-United States</w:t>
      </w:r>
    </w:p>
    <w:p w14:paraId="21818C3F" w14:textId="77777777" w:rsidR="008355BA" w:rsidRPr="004B7008" w:rsidRDefault="008355BA" w:rsidP="00030AAD">
      <w:pPr>
        <w:spacing w:line="240" w:lineRule="auto"/>
        <w:rPr>
          <w:rFonts w:ascii="Times New Roman" w:eastAsia="Times New Roman" w:hAnsi="Times New Roman" w:cs="Times New Roman"/>
          <w:color w:val="333333"/>
          <w:sz w:val="20"/>
          <w:szCs w:val="24"/>
        </w:rPr>
      </w:pPr>
    </w:p>
    <w:p w14:paraId="5C1AB530" w14:textId="77777777" w:rsidR="008355BA" w:rsidRDefault="008355BA">
      <w:pPr>
        <w:rPr>
          <w:rFonts w:ascii="Times New Roman" w:eastAsia="Times New Roman" w:hAnsi="Times New Roman" w:cs="Times New Roman"/>
          <w:b/>
          <w:bCs/>
          <w:color w:val="333333"/>
          <w:sz w:val="24"/>
          <w:szCs w:val="24"/>
          <w:u w:val="single"/>
        </w:rPr>
      </w:pPr>
      <w:r>
        <w:rPr>
          <w:rFonts w:ascii="Times New Roman" w:eastAsia="Times New Roman" w:hAnsi="Times New Roman" w:cs="Times New Roman"/>
          <w:b/>
          <w:bCs/>
          <w:color w:val="333333"/>
          <w:sz w:val="24"/>
          <w:szCs w:val="24"/>
          <w:u w:val="single"/>
        </w:rPr>
        <w:br w:type="page"/>
      </w:r>
    </w:p>
    <w:p w14:paraId="38643825" w14:textId="149CBD66" w:rsidR="00030AAD" w:rsidRPr="008355BA" w:rsidRDefault="008355BA" w:rsidP="00030AAD">
      <w:pPr>
        <w:spacing w:after="0" w:line="240" w:lineRule="auto"/>
        <w:rPr>
          <w:rFonts w:ascii="Times New Roman" w:eastAsia="Times New Roman" w:hAnsi="Times New Roman" w:cs="Times New Roman"/>
          <w:b/>
          <w:color w:val="333333"/>
          <w:sz w:val="24"/>
          <w:szCs w:val="24"/>
          <w:u w:val="single"/>
        </w:rPr>
      </w:pPr>
      <w:r w:rsidRPr="008355BA">
        <w:rPr>
          <w:rFonts w:ascii="Times New Roman" w:eastAsia="Times New Roman" w:hAnsi="Times New Roman" w:cs="Times New Roman"/>
          <w:b/>
          <w:bCs/>
          <w:color w:val="333333"/>
          <w:sz w:val="24"/>
          <w:szCs w:val="24"/>
          <w:u w:val="single"/>
        </w:rPr>
        <w:lastRenderedPageBreak/>
        <w:t>ABSTRACT</w:t>
      </w:r>
    </w:p>
    <w:p w14:paraId="460DA5C1" w14:textId="77777777" w:rsidR="008355BA" w:rsidRDefault="008355BA" w:rsidP="00030AAD">
      <w:pPr>
        <w:spacing w:after="0" w:line="240" w:lineRule="auto"/>
        <w:rPr>
          <w:rFonts w:ascii="Times New Roman" w:eastAsia="Times New Roman" w:hAnsi="Times New Roman" w:cs="Times New Roman"/>
          <w:b/>
          <w:bCs/>
          <w:color w:val="333333"/>
          <w:sz w:val="24"/>
          <w:szCs w:val="24"/>
        </w:rPr>
      </w:pPr>
    </w:p>
    <w:p w14:paraId="352BBA18" w14:textId="3768AEFB" w:rsidR="00030AAD" w:rsidRP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b/>
          <w:bCs/>
          <w:color w:val="333333"/>
          <w:sz w:val="24"/>
          <w:szCs w:val="24"/>
        </w:rPr>
        <w:t>Summary</w:t>
      </w:r>
    </w:p>
    <w:p w14:paraId="698F005C" w14:textId="77777777" w:rsidR="00030AAD" w:rsidRPr="00030AAD" w:rsidRDefault="00030AAD" w:rsidP="00030AAD">
      <w:pPr>
        <w:spacing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color w:val="333333"/>
          <w:sz w:val="24"/>
          <w:szCs w:val="24"/>
        </w:rPr>
        <w:t xml:space="preserve">We </w:t>
      </w:r>
      <w:proofErr w:type="gramStart"/>
      <w:r w:rsidRPr="00030AAD">
        <w:rPr>
          <w:rFonts w:ascii="Times New Roman" w:eastAsia="Times New Roman" w:hAnsi="Times New Roman" w:cs="Times New Roman"/>
          <w:color w:val="333333"/>
          <w:sz w:val="24"/>
          <w:szCs w:val="24"/>
        </w:rPr>
        <w:t>were able to</w:t>
      </w:r>
      <w:proofErr w:type="gramEnd"/>
      <w:r w:rsidRPr="00030AAD">
        <w:rPr>
          <w:rFonts w:ascii="Times New Roman" w:eastAsia="Times New Roman" w:hAnsi="Times New Roman" w:cs="Times New Roman"/>
          <w:color w:val="333333"/>
          <w:sz w:val="24"/>
          <w:szCs w:val="24"/>
        </w:rPr>
        <w:t xml:space="preserve"> successfully validate that sustained release of Simvastatin (SIM) via a PLGA </w:t>
      </w:r>
      <w:proofErr w:type="spellStart"/>
      <w:r w:rsidRPr="00030AAD">
        <w:rPr>
          <w:rFonts w:ascii="Times New Roman" w:eastAsia="Times New Roman" w:hAnsi="Times New Roman" w:cs="Times New Roman"/>
          <w:color w:val="333333"/>
          <w:sz w:val="24"/>
          <w:szCs w:val="24"/>
        </w:rPr>
        <w:t>nano</w:t>
      </w:r>
      <w:proofErr w:type="spellEnd"/>
      <w:r w:rsidRPr="00030AAD">
        <w:rPr>
          <w:rFonts w:ascii="Times New Roman" w:eastAsia="Times New Roman" w:hAnsi="Times New Roman" w:cs="Times New Roman"/>
          <w:color w:val="333333"/>
          <w:sz w:val="24"/>
          <w:szCs w:val="24"/>
        </w:rPr>
        <w:t xml:space="preserve"> particle (NP)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was able to induce an increase in mineralization as well as an increase in markers of bone formation. Rats treated with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had more bone formation on X-ray (XR) and were significantly more likely to achieve fusion. Our findings highlight the potential of simvastatin as a safe, cost-effective bone anabolic agent for use in spinal fusion surgery.</w:t>
      </w:r>
    </w:p>
    <w:p w14:paraId="2E0DBADD"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b/>
          <w:bCs/>
          <w:color w:val="333333"/>
          <w:sz w:val="24"/>
          <w:szCs w:val="24"/>
        </w:rPr>
        <w:t>Hypothesis</w:t>
      </w:r>
    </w:p>
    <w:p w14:paraId="5FC68A46" w14:textId="7842C671" w:rsid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color w:val="333333"/>
          <w:sz w:val="24"/>
          <w:szCs w:val="24"/>
        </w:rPr>
        <w:t>Sustained, local delivery of SIM would assist with spinal fusion in a rat animal model</w:t>
      </w:r>
    </w:p>
    <w:p w14:paraId="34C3C57D"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p>
    <w:p w14:paraId="5EB37F09"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b/>
          <w:bCs/>
          <w:color w:val="333333"/>
          <w:sz w:val="24"/>
          <w:szCs w:val="24"/>
        </w:rPr>
        <w:t>Design</w:t>
      </w:r>
    </w:p>
    <w:p w14:paraId="271D73C8" w14:textId="00563083" w:rsid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color w:val="333333"/>
          <w:sz w:val="24"/>
          <w:szCs w:val="24"/>
        </w:rPr>
        <w:t>Animal study</w:t>
      </w:r>
    </w:p>
    <w:p w14:paraId="058FC9F1"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p>
    <w:p w14:paraId="2FEF8EA2"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b/>
          <w:bCs/>
          <w:color w:val="333333"/>
          <w:sz w:val="24"/>
          <w:szCs w:val="24"/>
        </w:rPr>
        <w:t>Introduction</w:t>
      </w:r>
    </w:p>
    <w:p w14:paraId="143FA190" w14:textId="78F7503E" w:rsid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color w:val="333333"/>
          <w:sz w:val="24"/>
          <w:szCs w:val="24"/>
        </w:rPr>
        <w:t>Despite data showing the bone-anabolic properties of statins in fracture healing, no studies that have evaluated the impact of locally delivered statins on spinal fusion.</w:t>
      </w:r>
    </w:p>
    <w:p w14:paraId="42CE5315"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p>
    <w:p w14:paraId="6825DA71"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b/>
          <w:bCs/>
          <w:color w:val="333333"/>
          <w:sz w:val="24"/>
          <w:szCs w:val="24"/>
        </w:rPr>
        <w:t>Methods</w:t>
      </w:r>
    </w:p>
    <w:p w14:paraId="0F3A05AF" w14:textId="48FEA175" w:rsid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color w:val="333333"/>
          <w:sz w:val="24"/>
          <w:szCs w:val="24"/>
        </w:rPr>
        <w:t>Blank PLGA (</w:t>
      </w:r>
      <w:proofErr w:type="spellStart"/>
      <w:r w:rsidRPr="00030AAD">
        <w:rPr>
          <w:rFonts w:ascii="Times New Roman" w:eastAsia="Times New Roman" w:hAnsi="Times New Roman" w:cs="Times New Roman"/>
          <w:color w:val="333333"/>
          <w:sz w:val="24"/>
          <w:szCs w:val="24"/>
        </w:rPr>
        <w:t>BlankNP</w:t>
      </w:r>
      <w:proofErr w:type="spellEnd"/>
      <w:r w:rsidRPr="00030AAD">
        <w:rPr>
          <w:rFonts w:ascii="Times New Roman" w:eastAsia="Times New Roman" w:hAnsi="Times New Roman" w:cs="Times New Roman"/>
          <w:color w:val="333333"/>
          <w:sz w:val="24"/>
          <w:szCs w:val="24"/>
        </w:rPr>
        <w:t>) and SIM-loaded PLGA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nanoparticles were created by adapting established techniques.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ranging from 217ug/mL to 883ug/mL, was placed in 15mL of PBS at 37ºC with agitation. SIM release was measured for 15d using an UV spectrophotometer. In vitro validation was performed using MC3T3-E1 osteoblast precursor cells were cultured in complete (COMP) or mineralizing (MIN) media. A posterior spinal fusion model was utilized in 40 male 12wk old outbred Wistar rats. Rats were treated with </w:t>
      </w:r>
      <w:proofErr w:type="spellStart"/>
      <w:r w:rsidRPr="00030AAD">
        <w:rPr>
          <w:rFonts w:ascii="Times New Roman" w:eastAsia="Times New Roman" w:hAnsi="Times New Roman" w:cs="Times New Roman"/>
          <w:color w:val="333333"/>
          <w:sz w:val="24"/>
          <w:szCs w:val="24"/>
        </w:rPr>
        <w:t>BlankNP</w:t>
      </w:r>
      <w:proofErr w:type="spellEnd"/>
      <w:r w:rsidRPr="00030AAD">
        <w:rPr>
          <w:rFonts w:ascii="Times New Roman" w:eastAsia="Times New Roman" w:hAnsi="Times New Roman" w:cs="Times New Roman"/>
          <w:color w:val="333333"/>
          <w:sz w:val="24"/>
          <w:szCs w:val="24"/>
        </w:rPr>
        <w:t xml:space="preserve">,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(15 rats each) or SIM drug (10 rats). XR to assess bone formation were obtained at 4wks and 9wks after surgery. Spines were explanted at 9wks and a manual assessment of fusion (MAF) was performed by three blinded observers.</w:t>
      </w:r>
    </w:p>
    <w:p w14:paraId="6B84E82F"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p>
    <w:p w14:paraId="3FF8BBE1"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b/>
          <w:bCs/>
          <w:color w:val="333333"/>
          <w:sz w:val="24"/>
          <w:szCs w:val="24"/>
        </w:rPr>
        <w:t>Results</w:t>
      </w:r>
    </w:p>
    <w:p w14:paraId="444C6E25" w14:textId="64CC3561" w:rsidR="00030AAD" w:rsidRDefault="00030AAD" w:rsidP="00030AAD">
      <w:pPr>
        <w:spacing w:after="0" w:line="240" w:lineRule="auto"/>
        <w:rPr>
          <w:rFonts w:ascii="Times New Roman" w:eastAsia="Times New Roman" w:hAnsi="Times New Roman" w:cs="Times New Roman"/>
          <w:color w:val="333333"/>
          <w:sz w:val="24"/>
          <w:szCs w:val="24"/>
        </w:rPr>
      </w:pP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successfully achieved sustained release over two weeks with ~50% occurring in the first day. Release efficiency averaged 74.1%. MC3T3 cells cultured with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at 200ug/mL had higher expression of OCN and OPN at 1wk and 2wks. Cells cultured with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showed more deposition of calcium as assessed by alizarin staining at 1wk and 3wks. Three animals (one from each group) were sacrificed due to post-operative complications (paralysis x2, infection). The remaining animals were analyzed. We found no significant differences between the </w:t>
      </w:r>
      <w:proofErr w:type="spellStart"/>
      <w:r w:rsidRPr="00030AAD">
        <w:rPr>
          <w:rFonts w:ascii="Times New Roman" w:eastAsia="Times New Roman" w:hAnsi="Times New Roman" w:cs="Times New Roman"/>
          <w:color w:val="333333"/>
          <w:sz w:val="24"/>
          <w:szCs w:val="24"/>
        </w:rPr>
        <w:t>BlankNP</w:t>
      </w:r>
      <w:proofErr w:type="spellEnd"/>
      <w:r w:rsidRPr="00030AAD">
        <w:rPr>
          <w:rFonts w:ascii="Times New Roman" w:eastAsia="Times New Roman" w:hAnsi="Times New Roman" w:cs="Times New Roman"/>
          <w:color w:val="333333"/>
          <w:sz w:val="24"/>
          <w:szCs w:val="24"/>
        </w:rPr>
        <w:t xml:space="preserve"> and SIM drug rats in XR scores or MAF. Compared to </w:t>
      </w:r>
      <w:proofErr w:type="spellStart"/>
      <w:r w:rsidRPr="00030AAD">
        <w:rPr>
          <w:rFonts w:ascii="Times New Roman" w:eastAsia="Times New Roman" w:hAnsi="Times New Roman" w:cs="Times New Roman"/>
          <w:color w:val="333333"/>
          <w:sz w:val="24"/>
          <w:szCs w:val="24"/>
        </w:rPr>
        <w:t>BlankNP</w:t>
      </w:r>
      <w:proofErr w:type="spellEnd"/>
      <w:r w:rsidRPr="00030AAD">
        <w:rPr>
          <w:rFonts w:ascii="Times New Roman" w:eastAsia="Times New Roman" w:hAnsi="Times New Roman" w:cs="Times New Roman"/>
          <w:color w:val="333333"/>
          <w:sz w:val="24"/>
          <w:szCs w:val="24"/>
        </w:rPr>
        <w:t xml:space="preserve">,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treated rats had significantly higher XR scores at 4wks (3.0 vs. 1.9, p=0.010) and 9wks (3.6 vs. 1.8, p&lt;0.001) (Figure). Compared to SIM drug,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rats had similar XR scores at 4wks but higher scores at 9wks (3.6 vs 2.1, p=0.005). MAF showed that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had a significantly higher fusion rate than </w:t>
      </w:r>
      <w:proofErr w:type="spellStart"/>
      <w:r w:rsidRPr="00030AAD">
        <w:rPr>
          <w:rFonts w:ascii="Times New Roman" w:eastAsia="Times New Roman" w:hAnsi="Times New Roman" w:cs="Times New Roman"/>
          <w:color w:val="333333"/>
          <w:sz w:val="24"/>
          <w:szCs w:val="24"/>
        </w:rPr>
        <w:t>BlankNP</w:t>
      </w:r>
      <w:proofErr w:type="spellEnd"/>
      <w:r w:rsidRPr="00030AAD">
        <w:rPr>
          <w:rFonts w:ascii="Times New Roman" w:eastAsia="Times New Roman" w:hAnsi="Times New Roman" w:cs="Times New Roman"/>
          <w:color w:val="333333"/>
          <w:sz w:val="24"/>
          <w:szCs w:val="24"/>
        </w:rPr>
        <w:t xml:space="preserve"> (42.9% vs. 0%, p=0.006).</w:t>
      </w:r>
    </w:p>
    <w:p w14:paraId="0928B012"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p>
    <w:p w14:paraId="432A5F40" w14:textId="77777777" w:rsidR="00030AAD" w:rsidRPr="00030AAD" w:rsidRDefault="00030AAD" w:rsidP="00030AAD">
      <w:pPr>
        <w:spacing w:after="0"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b/>
          <w:bCs/>
          <w:color w:val="333333"/>
          <w:sz w:val="24"/>
          <w:szCs w:val="24"/>
        </w:rPr>
        <w:t>Conclusion</w:t>
      </w:r>
    </w:p>
    <w:p w14:paraId="4B9503F9" w14:textId="77777777" w:rsidR="00030AAD" w:rsidRPr="00030AAD" w:rsidRDefault="00030AAD" w:rsidP="00030AAD">
      <w:pPr>
        <w:spacing w:line="240" w:lineRule="auto"/>
        <w:rPr>
          <w:rFonts w:ascii="Times New Roman" w:eastAsia="Times New Roman" w:hAnsi="Times New Roman" w:cs="Times New Roman"/>
          <w:color w:val="333333"/>
          <w:sz w:val="24"/>
          <w:szCs w:val="24"/>
        </w:rPr>
      </w:pPr>
      <w:r w:rsidRPr="00030AAD">
        <w:rPr>
          <w:rFonts w:ascii="Times New Roman" w:eastAsia="Times New Roman" w:hAnsi="Times New Roman" w:cs="Times New Roman"/>
          <w:color w:val="333333"/>
          <w:sz w:val="24"/>
          <w:szCs w:val="24"/>
        </w:rPr>
        <w:t xml:space="preserve">Rats treated with </w:t>
      </w:r>
      <w:proofErr w:type="spellStart"/>
      <w:r w:rsidRPr="00030AAD">
        <w:rPr>
          <w:rFonts w:ascii="Times New Roman" w:eastAsia="Times New Roman" w:hAnsi="Times New Roman" w:cs="Times New Roman"/>
          <w:color w:val="333333"/>
          <w:sz w:val="24"/>
          <w:szCs w:val="24"/>
        </w:rPr>
        <w:t>SimNP</w:t>
      </w:r>
      <w:proofErr w:type="spellEnd"/>
      <w:r w:rsidRPr="00030AAD">
        <w:rPr>
          <w:rFonts w:ascii="Times New Roman" w:eastAsia="Times New Roman" w:hAnsi="Times New Roman" w:cs="Times New Roman"/>
          <w:color w:val="333333"/>
          <w:sz w:val="24"/>
          <w:szCs w:val="24"/>
        </w:rPr>
        <w:t xml:space="preserve"> had significantly more bone formation on XR and were significantly more likely to achieve fusion judged by MAF compared to control animals (</w:t>
      </w:r>
      <w:proofErr w:type="spellStart"/>
      <w:r w:rsidRPr="00030AAD">
        <w:rPr>
          <w:rFonts w:ascii="Times New Roman" w:eastAsia="Times New Roman" w:hAnsi="Times New Roman" w:cs="Times New Roman"/>
          <w:color w:val="333333"/>
          <w:sz w:val="24"/>
          <w:szCs w:val="24"/>
        </w:rPr>
        <w:t>BlankNP</w:t>
      </w:r>
      <w:proofErr w:type="spellEnd"/>
      <w:r w:rsidRPr="00030AAD">
        <w:rPr>
          <w:rFonts w:ascii="Times New Roman" w:eastAsia="Times New Roman" w:hAnsi="Times New Roman" w:cs="Times New Roman"/>
          <w:color w:val="333333"/>
          <w:sz w:val="24"/>
          <w:szCs w:val="24"/>
        </w:rPr>
        <w:t>).</w:t>
      </w:r>
    </w:p>
    <w:p w14:paraId="431030D1" w14:textId="181EDD42" w:rsidR="00FA1619" w:rsidRPr="008355BA" w:rsidRDefault="008355BA">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14:paraId="00769C5D" w14:textId="1DF28329" w:rsidR="001D695C" w:rsidRPr="00030AAD" w:rsidRDefault="009272B1" w:rsidP="001F5BE3">
      <w:pPr>
        <w:tabs>
          <w:tab w:val="left" w:pos="720"/>
          <w:tab w:val="left" w:pos="1440"/>
          <w:tab w:val="left" w:pos="2070"/>
        </w:tabs>
        <w:rPr>
          <w:rFonts w:ascii="Times New Roman" w:hAnsi="Times New Roman" w:cs="Times New Roman"/>
          <w:color w:val="000000"/>
          <w:sz w:val="24"/>
          <w:szCs w:val="24"/>
        </w:rPr>
      </w:pPr>
      <w:r w:rsidRPr="00030AAD">
        <w:rPr>
          <w:rFonts w:ascii="Times New Roman" w:hAnsi="Times New Roman" w:cs="Times New Roman"/>
          <w:color w:val="000000"/>
          <w:sz w:val="24"/>
          <w:szCs w:val="24"/>
        </w:rPr>
        <w:t>Achieving a solid fusion is crucial to achieving stable, long-term following a number of spine surgery</w:t>
      </w:r>
      <w:r w:rsidR="001F5BE3" w:rsidRPr="00030AAD">
        <w:rPr>
          <w:rFonts w:ascii="Times New Roman" w:hAnsi="Times New Roman" w:cs="Times New Roman"/>
          <w:color w:val="000000"/>
          <w:sz w:val="24"/>
          <w:szCs w:val="24"/>
        </w:rPr>
        <w:t xml:space="preserve"> procedures</w:t>
      </w:r>
      <w:r w:rsidRPr="00030AAD">
        <w:rPr>
          <w:rFonts w:ascii="Times New Roman" w:hAnsi="Times New Roman" w:cs="Times New Roman"/>
          <w:color w:val="000000"/>
          <w:sz w:val="24"/>
          <w:szCs w:val="24"/>
        </w:rPr>
        <w:t>.</w:t>
      </w:r>
      <w:r w:rsidRPr="00030AAD">
        <w:rPr>
          <w:rFonts w:ascii="Times New Roman" w:hAnsi="Times New Roman" w:cs="Times New Roman"/>
          <w:color w:val="000000"/>
          <w:sz w:val="24"/>
          <w:szCs w:val="24"/>
        </w:rPr>
        <w:fldChar w:fldCharType="begin" w:fldLock="1"/>
      </w:r>
      <w:r w:rsidR="001C1DD7" w:rsidRPr="00030AAD">
        <w:rPr>
          <w:rFonts w:ascii="Times New Roman" w:hAnsi="Times New Roman" w:cs="Times New Roman"/>
          <w:color w:val="000000"/>
          <w:sz w:val="24"/>
          <w:szCs w:val="24"/>
        </w:rPr>
        <w:instrText>ADDIN CSL_CITATION { "citationItems" : [ { "id" : "ITEM-1", "itemData" : { "DOI" : "00007632-200404010-00004 [pii]", "ISBN" : "1528-1159", "PMID" : "15087793", "abstract" : "STUDY DESIGN: A prospective, randomized study on patients who underwent posterior lumbar decompression with bilateral posterolateral arthrodesis. OBJECTIVE: To determine the long-term influence of pseudarthrosis on the clinical outcome of patients with degenerative spondylolisthesis and spinal stenosis. SUMMARY OF BACKGROUND DATA: Spinal decompression and posterolateral arthrodesis have been shown to be beneficial in the surgical treatment of symptomatic spinal stenosis with concurrent spondylolisthesis. METHODS: Forty-seven patients with single-level symptomatic spinal stenosis and spondylolisthesis were prospectively studied. Patients were treated with posterior decompression and bilateral posterolateral arthrodesis with autogenous bone graft. Radiographic evaluation was used to determine if fusion or pseudarthrosis was present. The solid fusion and pseudarthrosis groups were analyzed clinically, roentgenographically, and with a validated self-administered spinal stenosis questionnaire. RESULTS: Forty-seven patients were available for review at a range of follow-up from 5 to 14 years. Average follow-up was 7 years 8 months. Clinical outcome was excellent to good in 86% of patients with a solid arthrodesis and in 56% of patients with a pseudarthrosis (P = 0.01). Significant differences in residual back and lower limb pain was discovered between the two groups using a scale ranging from 0 (no pain) to 5 (severe pain). Preoperative back and lower limb pain scores were statistically similar between the two groups. The solid fusion group performed significantly better in the symptom severity and physical function categories on the self-administered questionnaire. The two groups had similar results in the patient satisfaction category of this questionnaire. CONCLUSIONS: In patients undergoing single-level decompression and posterolateral arthrodesis for spinal stenosis and concurrent spondylolisthesis, a solid fusion improves long-term clinical results. Benefits of a successful arthrodesis over pseudarthrosis were demonstrated with respect to back and lower limb symptomatology compared with prior shorter-term studies, which indicated no significant difference in clinical outcome between the two groups.", "author" : [ { "dropping-particle" : "", "family" : "Kornblum", "given" : "M B", "non-dropping-particle" : "", "parse-names" : false, "suffix" : "" }, { "dropping-particle" : "", "family" : "Fischgrund", "given" : "J S", "non-dropping-particle" : "", "parse-names" : false, "suffix" : "" }, { "dropping-particle" : "", "family" : "Herkowitz", "given" : "H N", "non-dropping-particle" : "", "parse-names" : false, "suffix" : "" }, { "dropping-particle" : "", "family" : "Abraham", "given" : "D A", "non-dropping-particle" : "", "parse-names" : false, "suffix" : "" }, { "dropping-particle" : "", "family" : "Berkower", "given" : "D L", "non-dropping-particle" : "", "parse-names" : false, "suffix" : "" }, { "dropping-particle" : "", "family" : "Ditkoff", "given" : "J S", "non-dropping-particle" : "", "parse-names" : false, "suffix" : "" } ], "container-title" : "Spine", "id" : "ITEM-1", "issue" : "7", "issued" : { "date-parts" : [ [ "2004", "4" ] ] }, "note" : "LR: 20090709; JID: 7610646; ppublish", "page" : "4", "title" : "Degenerative lumbar spondylolisthesis with spinal stenosis: a prospective long-term study comparing fusion and pseudarthrosis", "type" : "article-journal", "volume" : "29" }, "uris" : [ "http://www.mendeley.com/documents/?uuid=3d568d5c-f398-4571-ac64-546f11ae1b39" ] }, { "id" : "ITEM-2", "itemData" : { "DOI" : "22/8/503 [pii]", "ISBN" : "1067-151X", "PMID" : "25063748", "abstract" : "The choice among the many options of approach and adjunct techniques in planning a posterior lumbar fusion can be problematic. Debates remain as to whether solid fusion has an advantage over pseudarthrosis regarding long-term symptom deterioration and whether an instrumented or a noninstrumented approach will best serve clinically and/or cost effectively, particularly in elderly patients. Increased motion resulting in higher rates of nonunion and the use of nonsteroidal anti-inflammatory drugs have been studied in animal models and are presumed risk factors, despite the lack of clinical investigation. Smoking is a proven risk factor for pseudarthrosis in both animal models and level III clinical studies. Recent long-term studies and image/clinical assessment of lumbar fusions and pseudarthrosis show that, although imaging remains a key area of difficulty in assessment, including an instrumented approach and a well-selected biologic adjunct, as well as achieving a solid fusion, all carry important long-term clinical advantages in avoiding revision surgery for nonunion.", "author" : [ { "dropping-particle" : "", "family" : "Fischer", "given" : "C R", "non-dropping-particle" : "", "parse-names" : false, "suffix" : "" }, { "dropping-particle" : "", "family" : "Ducoffe", "given" : "A R", "non-dropping-particle" : "", "parse-names" : false, "suffix" : "" }, { "dropping-particle" : "", "family" : "Errico", "given" : "T J", "non-dropping-particle" : "", "parse-names" : false, "suffix" : "" } ], "container-title" : "The Journal of the American Academy of Orthopaedic Surgeons", "id" : "ITEM-2", "issue" : "8", "issued" : { "date-parts" : [ [ "2014", "8" ] ] }, "note" : "CI: Copyright 2014; JID: 9417468; ppublish", "page" : "503-511", "title" : "Posterior Lumbar Fusion: Choice of Approach and Adjunct Techniques", "type" : "article-journal", "volume" : "22" }, "uris" : [ "http://www.mendeley.com/documents/?uuid=4585f5ec-f842-4d57-8828-6b12b039767a" ] }, { "id" : "ITEM-3", "itemData" : { "DOI" : "10.1227/01.NEU.0000219836.54861.CD [doi]", "ISBN" : "1524-4040", "PMID" : "16823295", "abstract" : "OBJECTIVE: Several reports suggest that spine surgery has experienced rapid growth in the past decade. Limited data exist, however, documenting the increase in spinal fusion. The objective of this work was to quantify and characterize the contemporary practice of spinal fusion in the United States. METHODS: Clinical data were obtained from the Nationwide Inpatient Sample for the years from 1993 to 2003. All patients with International Classification of Disease, Ninth Revision, Clinical Modification (ICD-9-CM) procedure codes indicating cervical fusion, thoracolumbar fusion, lumbar or unspecified fusion were identified (n = 471,990). Primary ICD-9-CM diagnosis codes were used to determine the rationale for surgical fusion. Population-based utilization rates overall and for each procedure were calculated from United States census data. Rank order of spinal fusion compared with other inpatient procedures from the Nationwide Inpatient Sample was reported for the years 1997 to 2003. RESULTS: Overall utilization increased during the time period for cervical, thoracolumbar, and lumbar fusions by 89, 31, and 134%, respectively. Patients aged 40 to 59 years experienced the rapid rise in utilization for cervical fusions (60-110 per 100,000) and lumbar fusions (35-84 per 100,000). For patients 60 years and older, utilization also increased for cervical (30-67 per 100,000), thoracolumbar (4-9 per 100,000), and lumbar (42-108 per 100,000). Spinal fusion rose from the 41st most common inpatient procedure in 1997 to the 19th in 2003. CONCLUSION: Cervical, thoracolumbar, and lumbar spinal fusion have experienced a rapid increase in utilization in isolation and compared with other surgical procedures in contemporary practice. These changes are most pronounced for patients over 40 years of age, and degenerative disc disease seems to account for much of this increase.", "author" : [ { "dropping-particle" : "", "family" : "Jr", "given" : "J A Cowan", "non-dropping-particle" : "", "parse-names" : false, "suffix" : "" }, { "dropping-particle" : "", "family" : "Dimick", "given" : "J B", "non-dropping-particle" : "", "parse-names" : false, "suffix" : "" }, { "dropping-particle" : "", "family" : "Wainess", "given" : "R", "non-dropping-particle" : "", "parse-names" : false, "suffix" : "" }, { "dropping-particle" : "", "family" : "Jr", "given" : "G R Upchurch", "non-dropping-particle" : "", "parse-names" : false, "suffix" : "" }, { "dropping-particle" : "", "family" : "Chandler", "given" : "W F", "non-dropping-particle" : "", "parse-names" : false, "suffix" : "" }, { "dropping-particle" : "La", "family" : "Marca", "given" : "F", "non-dropping-particle" : "", "parse-names" : false, "suffix" : "" } ], "container-title" : "Neurosurgery", "id" : "ITEM-3", "issue" : "1", "issued" : { "date-parts" : [ [ "2006", "7" ] ] }, "note" : "LR: 20111117; JID: 7802914; ppublish", "page" : "20", "title" : "Changes in the utilization of spinal fusion in the United States", "type" : "article-journal", "volume" : "59" }, "uris" : [ "http://www.mendeley.com/documents/?uuid=87ffb61c-4548-4cff-bc8e-054066335072" ] } ], "mendeley" : { "formattedCitation" : "&lt;sup&gt;1\u20133&lt;/sup&gt;", "plainTextFormattedCitation" : "1\u20133", "previouslyFormattedCitation" : "&lt;sup&gt;1\u20133&lt;/sup&gt;" }, "properties" : { "noteIndex" : 0 }, "schema" : "https://github.com/citation-style-language/schema/raw/master/csl-citation.json" }</w:instrText>
      </w:r>
      <w:r w:rsidRPr="00030AAD">
        <w:rPr>
          <w:rFonts w:ascii="Times New Roman" w:hAnsi="Times New Roman" w:cs="Times New Roman"/>
          <w:color w:val="000000"/>
          <w:sz w:val="24"/>
          <w:szCs w:val="24"/>
        </w:rPr>
        <w:fldChar w:fldCharType="separate"/>
      </w:r>
      <w:r w:rsidRPr="00030AAD">
        <w:rPr>
          <w:rFonts w:ascii="Times New Roman" w:hAnsi="Times New Roman" w:cs="Times New Roman"/>
          <w:noProof/>
          <w:color w:val="000000"/>
          <w:sz w:val="24"/>
          <w:szCs w:val="24"/>
          <w:vertAlign w:val="superscript"/>
        </w:rPr>
        <w:t>1–3</w:t>
      </w:r>
      <w:r w:rsidRPr="00030AAD">
        <w:rPr>
          <w:rFonts w:ascii="Times New Roman" w:hAnsi="Times New Roman" w:cs="Times New Roman"/>
          <w:color w:val="000000"/>
          <w:sz w:val="24"/>
          <w:szCs w:val="24"/>
        </w:rPr>
        <w:fldChar w:fldCharType="end"/>
      </w:r>
      <w:r w:rsidRPr="00030AAD">
        <w:rPr>
          <w:rFonts w:ascii="Times New Roman" w:hAnsi="Times New Roman" w:cs="Times New Roman"/>
          <w:color w:val="000000"/>
          <w:sz w:val="24"/>
          <w:szCs w:val="24"/>
        </w:rPr>
        <w:t xml:space="preserve"> Surgeons employ several different strategies to help achieve this goal. These include:</w:t>
      </w:r>
      <w:r w:rsidR="00B826F1" w:rsidRPr="00030AAD">
        <w:rPr>
          <w:rFonts w:ascii="Times New Roman" w:hAnsi="Times New Roman" w:cs="Times New Roman"/>
          <w:color w:val="000000"/>
          <w:sz w:val="24"/>
          <w:szCs w:val="24"/>
        </w:rPr>
        <w:t xml:space="preserve"> local and</w:t>
      </w:r>
      <w:r w:rsidRPr="00030AAD">
        <w:rPr>
          <w:rFonts w:ascii="Times New Roman" w:hAnsi="Times New Roman" w:cs="Times New Roman"/>
          <w:color w:val="000000"/>
          <w:sz w:val="24"/>
          <w:szCs w:val="24"/>
        </w:rPr>
        <w:t xml:space="preserve"> iliac crest autograft, </w:t>
      </w:r>
      <w:r w:rsidR="001D695C" w:rsidRPr="00030AAD">
        <w:rPr>
          <w:rFonts w:ascii="Times New Roman" w:hAnsi="Times New Roman" w:cs="Times New Roman"/>
          <w:color w:val="000000"/>
          <w:sz w:val="24"/>
          <w:szCs w:val="24"/>
        </w:rPr>
        <w:t>allograft</w:t>
      </w:r>
      <w:r w:rsidRPr="00030AAD">
        <w:rPr>
          <w:rFonts w:ascii="Times New Roman" w:hAnsi="Times New Roman" w:cs="Times New Roman"/>
          <w:color w:val="000000"/>
          <w:sz w:val="24"/>
          <w:szCs w:val="24"/>
        </w:rPr>
        <w:t xml:space="preserve"> bone</w:t>
      </w:r>
      <w:r w:rsidR="001D695C" w:rsidRPr="00030AAD">
        <w:rPr>
          <w:rFonts w:ascii="Times New Roman" w:hAnsi="Times New Roman" w:cs="Times New Roman"/>
          <w:color w:val="000000"/>
          <w:sz w:val="24"/>
          <w:szCs w:val="24"/>
        </w:rPr>
        <w:t>, bone graft extenders such as synthetic ceramics and recombinant bone morphogenetic protein-2 (BMP-2).</w:t>
      </w:r>
      <w:r w:rsidR="00030AAD" w:rsidRPr="00030AAD">
        <w:rPr>
          <w:rFonts w:ascii="Times New Roman" w:hAnsi="Times New Roman" w:cs="Times New Roman"/>
          <w:color w:val="000000"/>
          <w:sz w:val="24"/>
          <w:szCs w:val="24"/>
        </w:rPr>
        <w:fldChar w:fldCharType="begin" w:fldLock="1"/>
      </w:r>
      <w:r w:rsidR="00030AAD" w:rsidRPr="00030AAD">
        <w:rPr>
          <w:rFonts w:ascii="Times New Roman" w:hAnsi="Times New Roman" w:cs="Times New Roman"/>
          <w:color w:val="000000"/>
          <w:sz w:val="24"/>
          <w:szCs w:val="24"/>
        </w:rPr>
        <w:instrText>ADDIN CSL_CITATION { "citationItems" : [ { "id" : "ITEM-1", "itemData" : { "DOI" : "10.5435/JAAOS-21-01-51", "ISSN" : "1067-151X", "PMID" : "23281471", "abstract" : "Iliac crest bone graft has long been the standard adjunct used in spine fusion surgery. This graft provides osteogenic, osteoinductive, and osteoconductive elements that aid in creation of a fusion mass. However, morbidity associated with bone graft harvest has led surgeons to seek other potential adjuncts, including bone morphogenetic proteins, demineralized bone matrix, and graft expanders such as synthetic bone graft and allograft. Knowledge of fusion biology is required to understand the benefits and limitations of these agents, which promote fusion via one of four mechanisms: osteogenesis, osteoinduction, osteoconduction, and osteopromotion. Although bone morphogenetic proteins have shown a clear ability to aid in bone formation and successful fusion, recent concern regarding their safety has tempered enthusiasm regarding their use.", "author" : [ { "dropping-particle" : "", "family" : "Grabowski", "given" : "Gregory", "non-dropping-particle" : "", "parse-names" : false, "suffix" : "" }, { "dropping-particle" : "", "family" : "Cornett", "given" : "Chris A", "non-dropping-particle" : "", "parse-names" : false, "suffix" : "" } ], "container-title" : "The Journal of the American Academy of Orthopaedic Surgeons", "id" : "ITEM-1", "issue" : "1", "issued" : { "date-parts" : [ [ "2013", "1", "1" ] ] }, "page" : "51-60", "title" : "Bone graft and bone graft substitutes in spine surgery: current concepts and controversies.", "type" : "article-journal", "volume" : "21" }, "uris" : [ "http://www.mendeley.com/documents/?uuid=f8359420-f915-48d4-b2aa-f48bea444daa" ] }, { "id" : "ITEM-2", "itemData" : { "DOI" : "10.3171/2016.1.SPINE151005", "ISSN" : "1547-5646", "PMID" : "27231812", "abstract" : "The purpose of this review was to compare the efficacy and safety of synthetic bone graft substitutes versus autograft or allograft for the treatment of lumbar and cervical spinal degenerative diseases. Multiple major medical reference databases were searched for studies that evaluated spinal fusion using synthetic bone graft substitutes (either alone or with an autograft or allograft) compared with autograft and allograft. Randomized controlled trials (RCT) and cohort studies with more than 10 patients were included. Radiographic fusion, patient-reported outcomes, and functional outcomes were the primary outcomes of interest. The search yielded 214 citations with 27 studies that met the inclusion criteria. For the patients with lumbar spinal degenerative disease, data from 19 comparative studies were included: 3 RCTs, 12 prospective, and 4 retrospective studies. Hydroxyapatite (HA), HA+collagen, \u03b2-tricalcium phosphate (\u03b2-TCP), calcium sulfate, or polymethylmethacrylate (PMMA) were used. Overall, there were no differences between the treatment groups in terms of fusion, functional outcomes, or complications, except in 1 study that found higher rates of HA graft absorption. For the patients with cervical degenerative conditions, data from 8 comparative studies were included: 4 RCTs and 4 cohort studies (1 prospective and 3 retrospective studies). Synthetic grafts included HA, \u03b2-TCP/HA, PMMA, and biocompatible osteoconductive polymer (BOP). The PMMA and BOP grafts led to lower fusion rates, and PMMA, HA, and BOP had greater risks of graft fragmentation, settling, and instrumentation problems compared with iliac crest bone graft. The overall quality of evidence evaluating the potential use and superiority of the synthetic biological materials for lumbar and cervical fusion in this systematic review was low or insufficient, largely due to the high potential for bias and small sample sizes. Thus, definitive conclusions or recommendations regarding the use of these synthetic materials should be made cautiously and within the context of the limitations of the evidence.", "author" : [ { "dropping-particle" : "", "family" : "Buser", "given" : "Zorica", "non-dropping-particle" : "", "parse-names" : false, "suffix" : "" }, { "dropping-particle" : "", "family" : "Brodke", "given" : "Darrel S", "non-dropping-particle" : "", "parse-names" : false, "suffix" : "" }, { "dropping-particle" : "", "family" : "Youssef", "given" : "Jim A", "non-dropping-particle" : "", "parse-names" : false, "suffix" : "" }, { "dropping-particle" : "", "family" : "Meisel", "given" : "Hans-Joerg", "non-dropping-particle" : "", "parse-names" : false, "suffix" : "" }, { "dropping-particle" : "", "family" : "Myhre", "given" : "Sue Lynn", "non-dropping-particle" : "", "parse-names" : false, "suffix" : "" }, { "dropping-particle" : "", "family" : "Hashimoto", "given" : "Robin", "non-dropping-particle" : "", "parse-names" : false, "suffix" : "" }, { "dropping-particle" : "", "family" : "Park", "given" : "Jong-Beom", "non-dropping-particle" : "", "parse-names" : false, "suffix" : "" }, { "dropping-particle" : "", "family" : "Tim Yoon", "given" : "S", "non-dropping-particle" : "", "parse-names" : false, "suffix" : "" }, { "dropping-particle" : "", "family" : "Wang", "given" : "Jeffrey C", "non-dropping-particle" : "", "parse-names" : false, "suffix" : "" } ], "container-title" : "Journal of neurosurgery. Spine", "id" : "ITEM-2", "issue" : "4", "issued" : { "date-parts" : [ [ "2016", "10" ] ] }, "page" : "509-516", "title" : "Synthetic bone graft versus autograft or allograft for spinal fusion: a systematic review.", "type" : "article-journal", "volume" : "25" }, "uris" : [ "http://www.mendeley.com/documents/?uuid=c1683060-d369-493a-a3f8-9d67fb0a7eec" ] }, { "id" : "ITEM-3", "itemData" : { "DOI" : "10.3171/2014.4.SPINE14325", "ISSN" : "1547-5646", "PMID" : "24980593", "abstract" : "In an attempt to enhance the potential to achieve a solid arthrodesis and avoid the morbidity of harvesting autologous iliac crest bone (AICB) for a lumbar fusion, numerous alternatives have been investigated. The use of these fusion adjuncts has become routine despite a lack of convincing evidence demonstrating a benefit to justify added costs or potential harm. Potential alternatives to AICB include locally harvested autograft, calcium-phosphate salts, demineralized bone matrix (DBM), and the family of bone morphogenetic proteins (BMPs). In particular, no option has created greater controversy than the BMPs. A significant increase in the number of publications, particularly with respect to the BMPs, has taken place since the release of the original guidelines. Both DBM and the calciumphosphate salts have demonstrated efficacy as a graft extender or as a substitute for AICB when combined with local autograft. The use of recombinant human BMP-2 (rhBMP-2) as a substitute for AICB, when performing an interbody lumbar fusion, is considered an option since similar outcomes have been observed; however, the potential for heterotopic bone formation is a concern. The use of rhBMP-2, when combined with calcium phosphates, as a substitute for AICB, or as an extender, when used with local autograft or AICB, is also considered an option as similar fusion rates and clinical outcomes have been observed. Surgeons electing to use BMPs should be aware of a growing body of literature demonstrating unique complications associated with the use of BMPs.", "author" : [ { "dropping-particle" : "", "family" : "Kaiser", "given" : "Michael G", "non-dropping-particle" : "", "parse-names" : false, "suffix" : "" }, { "dropping-particle" : "", "family" : "Groff", "given" : "Michael W", "non-dropping-particle" : "", "parse-names" : false, "suffix" : "" }, { "dropping-particle" : "", "family" : "Watters", "given" : "William C", "non-dropping-particle" : "", "parse-names" : false, "suffix" : "" }, { "dropping-particle" : "", "family" : "Ghogawala", "given" : "Zoher", "non-dropping-particle" : "", "parse-names" : false, "suffix" : "" }, { "dropping-particle" : "V", "family" : "Mummaneni", "given" : "Praveen", "non-dropping-particle" : "", "parse-names" : false, "suffix" : "" }, { "dropping-particle" : "", "family" : "Dailey", "given" : "Andrew T", "non-dropping-particle" : "", "parse-names" : false, "suffix" : "" }, { "dropping-particle" : "", "family" : "Choudhri", "given" : "Tanvir F", "non-dropping-particle" : "", "parse-names" : false, "suffix" : "" }, { "dropping-particle" : "", "family" : "Eck", "given" : "Jason C", "non-dropping-particle" : "", "parse-names" : false, "suffix" : "" }, { "dropping-particle" : "", "family" : "Sharan", "given" : "Alok", "non-dropping-particle" : "", "parse-names" : false, "suffix" : "" }, { "dropping-particle" : "", "family" : "Wang", "given" : "Jeffrey C", "non-dropping-particle" : "", "parse-names" : false, "suffix" : "" }, { "dropping-particle" : "", "family" : "Dhall", "given" : "Sanjay S", "non-dropping-particle" : "", "parse-names" : false, "suffix" : "" }, { "dropping-particle" : "", "family" : "Resnick", "given" : "Daniel K", "non-dropping-particle" : "", "parse-names" : false, "suffix" : "" } ], "container-title" : "Journal of neurosurgery. Spine", "id" : "ITEM-3", "issue" : "1", "issued" : { "date-parts" : [ [ "2014", "7" ] ] }, "page" : "106-32", "title" : "Guideline update for the performance of fusion procedures for degenerative disease of the lumbar spine. Part 16: bone graft extenders and substitutes as an adjunct for lumbar fusion.", "type" : "article-journal", "volume" : "21" }, "uris" : [ "http://www.mendeley.com/documents/?uuid=0216eb10-6dd2-4dbb-a2bf-6f072737c82a" ] } ], "mendeley" : { "formattedCitation" : "&lt;sup&gt;4\u20136&lt;/sup&gt;", "plainTextFormattedCitation" : "4\u20136", "previouslyFormattedCitation" : "&lt;sup&gt;4\u20136&lt;/sup&gt;" }, "properties" : { "noteIndex" : 0 }, "schema" : "https://github.com/citation-style-language/schema/raw/master/csl-citation.json" }</w:instrText>
      </w:r>
      <w:r w:rsidR="00030AAD"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4–6</w:t>
      </w:r>
      <w:r w:rsidR="00030AAD" w:rsidRPr="00030AAD">
        <w:rPr>
          <w:rFonts w:ascii="Times New Roman" w:hAnsi="Times New Roman" w:cs="Times New Roman"/>
          <w:color w:val="000000"/>
          <w:sz w:val="24"/>
          <w:szCs w:val="24"/>
        </w:rPr>
        <w:fldChar w:fldCharType="end"/>
      </w:r>
      <w:r w:rsidR="00B826F1" w:rsidRPr="00030AAD">
        <w:rPr>
          <w:rFonts w:ascii="Times New Roman" w:hAnsi="Times New Roman" w:cs="Times New Roman"/>
          <w:color w:val="000000"/>
          <w:sz w:val="24"/>
          <w:szCs w:val="24"/>
        </w:rPr>
        <w:t xml:space="preserve"> While allograft bone and bone graft extenders provide an </w:t>
      </w:r>
      <w:proofErr w:type="spellStart"/>
      <w:r w:rsidR="00B826F1" w:rsidRPr="00030AAD">
        <w:rPr>
          <w:rFonts w:ascii="Times New Roman" w:hAnsi="Times New Roman" w:cs="Times New Roman"/>
          <w:color w:val="000000"/>
          <w:sz w:val="24"/>
          <w:szCs w:val="24"/>
        </w:rPr>
        <w:t>osteoconductive</w:t>
      </w:r>
      <w:proofErr w:type="spellEnd"/>
      <w:r w:rsidR="00B826F1" w:rsidRPr="00030AAD">
        <w:rPr>
          <w:rFonts w:ascii="Times New Roman" w:hAnsi="Times New Roman" w:cs="Times New Roman"/>
          <w:color w:val="000000"/>
          <w:sz w:val="24"/>
          <w:szCs w:val="24"/>
        </w:rPr>
        <w:t xml:space="preserve"> environment, iliac crest autograft and BMP-2 are the only </w:t>
      </w:r>
      <w:proofErr w:type="spellStart"/>
      <w:r w:rsidR="00B826F1" w:rsidRPr="00030AAD">
        <w:rPr>
          <w:rFonts w:ascii="Times New Roman" w:hAnsi="Times New Roman" w:cs="Times New Roman"/>
          <w:color w:val="000000"/>
          <w:sz w:val="24"/>
          <w:szCs w:val="24"/>
        </w:rPr>
        <w:t>osteoinductive</w:t>
      </w:r>
      <w:proofErr w:type="spellEnd"/>
      <w:r w:rsidR="00B826F1" w:rsidRPr="00030AAD">
        <w:rPr>
          <w:rFonts w:ascii="Times New Roman" w:hAnsi="Times New Roman" w:cs="Times New Roman"/>
          <w:color w:val="000000"/>
          <w:sz w:val="24"/>
          <w:szCs w:val="24"/>
        </w:rPr>
        <w:t xml:space="preserve"> options currently available to surgeons.</w:t>
      </w:r>
    </w:p>
    <w:p w14:paraId="427FF003" w14:textId="0F881D4B" w:rsidR="00DF74BF" w:rsidRPr="00030AAD" w:rsidRDefault="00A64786" w:rsidP="005F3C6F">
      <w:pPr>
        <w:tabs>
          <w:tab w:val="left" w:pos="720"/>
          <w:tab w:val="left" w:pos="1440"/>
          <w:tab w:val="left" w:pos="2070"/>
        </w:tabs>
        <w:rPr>
          <w:rFonts w:ascii="Times New Roman" w:hAnsi="Times New Roman" w:cs="Times New Roman"/>
          <w:color w:val="000000"/>
          <w:sz w:val="24"/>
          <w:szCs w:val="24"/>
        </w:rPr>
      </w:pPr>
      <w:r w:rsidRPr="00030AAD">
        <w:rPr>
          <w:rFonts w:ascii="Times New Roman" w:hAnsi="Times New Roman" w:cs="Times New Roman"/>
          <w:color w:val="000000"/>
          <w:sz w:val="24"/>
          <w:szCs w:val="24"/>
        </w:rPr>
        <w:t xml:space="preserve">Both options, however, suffer from significant limitations. Iliac crest autograft has been associated with </w:t>
      </w:r>
      <w:r w:rsidR="001F5BE3" w:rsidRPr="00030AAD">
        <w:rPr>
          <w:rFonts w:ascii="Times New Roman" w:hAnsi="Times New Roman" w:cs="Times New Roman"/>
          <w:color w:val="000000"/>
          <w:sz w:val="24"/>
          <w:szCs w:val="24"/>
        </w:rPr>
        <w:t xml:space="preserve">donor site morbidity, increased operating time, </w:t>
      </w:r>
      <w:r w:rsidR="001D695C" w:rsidRPr="00030AAD">
        <w:rPr>
          <w:rFonts w:ascii="Times New Roman" w:hAnsi="Times New Roman" w:cs="Times New Roman"/>
          <w:color w:val="000000"/>
          <w:sz w:val="24"/>
          <w:szCs w:val="24"/>
        </w:rPr>
        <w:t xml:space="preserve">increased </w:t>
      </w:r>
      <w:r w:rsidR="001F5BE3" w:rsidRPr="00030AAD">
        <w:rPr>
          <w:rFonts w:ascii="Times New Roman" w:hAnsi="Times New Roman" w:cs="Times New Roman"/>
          <w:color w:val="000000"/>
          <w:sz w:val="24"/>
          <w:szCs w:val="24"/>
        </w:rPr>
        <w:t xml:space="preserve">blood loss and </w:t>
      </w:r>
      <w:r w:rsidR="001D695C" w:rsidRPr="00030AAD">
        <w:rPr>
          <w:rFonts w:ascii="Times New Roman" w:hAnsi="Times New Roman" w:cs="Times New Roman"/>
          <w:color w:val="000000"/>
          <w:sz w:val="24"/>
          <w:szCs w:val="24"/>
        </w:rPr>
        <w:t xml:space="preserve">a longer </w:t>
      </w:r>
      <w:r w:rsidR="001F5BE3" w:rsidRPr="00030AAD">
        <w:rPr>
          <w:rFonts w:ascii="Times New Roman" w:hAnsi="Times New Roman" w:cs="Times New Roman"/>
          <w:color w:val="000000"/>
          <w:sz w:val="24"/>
          <w:szCs w:val="24"/>
        </w:rPr>
        <w:t>hospital stay</w:t>
      </w:r>
      <w:r w:rsidR="001C1DD7" w:rsidRPr="00030AAD">
        <w:rPr>
          <w:rFonts w:ascii="Times New Roman" w:hAnsi="Times New Roman" w:cs="Times New Roman"/>
          <w:color w:val="000000"/>
          <w:sz w:val="24"/>
          <w:szCs w:val="24"/>
        </w:rPr>
        <w:t>.</w:t>
      </w:r>
      <w:r w:rsidR="001C1DD7" w:rsidRPr="00030AAD">
        <w:rPr>
          <w:rFonts w:ascii="Times New Roman" w:hAnsi="Times New Roman" w:cs="Times New Roman"/>
          <w:color w:val="000000"/>
          <w:sz w:val="24"/>
          <w:szCs w:val="24"/>
        </w:rPr>
        <w:fldChar w:fldCharType="begin" w:fldLock="1"/>
      </w:r>
      <w:r w:rsidR="00B826F1" w:rsidRPr="00030AAD">
        <w:rPr>
          <w:rFonts w:ascii="Times New Roman" w:hAnsi="Times New Roman" w:cs="Times New Roman"/>
          <w:color w:val="000000"/>
          <w:sz w:val="24"/>
          <w:szCs w:val="24"/>
        </w:rPr>
        <w:instrText>ADDIN CSL_CITATION { "citationItems" : [ { "id" : "ITEM-1", "itemData" : { "DOI" : "22/8/503 [pii]", "ISBN" : "1067-151X", "PMID" : "25063748", "abstract" : "The choice among the many options of approach and adjunct techniques in planning a posterior lumbar fusion can be problematic. Debates remain as to whether solid fusion has an advantage over pseudarthrosis regarding long-term symptom deterioration and whether an instrumented or a noninstrumented approach will best serve clinically and/or cost effectively, particularly in elderly patients. Increased motion resulting in higher rates of nonunion and the use of nonsteroidal anti-inflammatory drugs have been studied in animal models and are presumed risk factors, despite the lack of clinical investigation. Smoking is a proven risk factor for pseudarthrosis in both animal models and level III clinical studies. Recent long-term studies and image/clinical assessment of lumbar fusions and pseudarthrosis show that, although imaging remains a key area of difficulty in assessment, including an instrumented approach and a well-selected biologic adjunct, as well as achieving a solid fusion, all carry important long-term clinical advantages in avoiding revision surgery for nonunion.", "author" : [ { "dropping-particle" : "", "family" : "Fischer", "given" : "C R", "non-dropping-particle" : "", "parse-names" : false, "suffix" : "" }, { "dropping-particle" : "", "family" : "Ducoffe", "given" : "A R", "non-dropping-particle" : "", "parse-names" : false, "suffix" : "" }, { "dropping-particle" : "", "family" : "Errico", "given" : "T J", "non-dropping-particle" : "", "parse-names" : false, "suffix" : "" } ], "container-title" : "The Journal of the American Academy of Orthopaedic Surgeons", "id" : "ITEM-1", "issue" : "8", "issued" : { "date-parts" : [ [ "2014", "8" ] ] }, "note" : "CI: Copyright 2014; JID: 9417468; ppublish", "page" : "503-511", "title" : "Posterior Lumbar Fusion: Choice of Approach and Adjunct Techniques", "type" : "article-journal", "volume" : "22" }, "uris" : [ "http://www.mendeley.com/documents/?uuid=4585f5ec-f842-4d57-8828-6b12b039767a" ] } ], "mendeley" : { "formattedCitation" : "&lt;sup&gt;2&lt;/sup&gt;", "plainTextFormattedCitation" : "2", "previouslyFormattedCitation" : "&lt;sup&gt;2&lt;/sup&gt;" }, "properties" : { "noteIndex" : 0 }, "schema" : "https://github.com/citation-style-language/schema/raw/master/csl-citation.json" }</w:instrText>
      </w:r>
      <w:r w:rsidR="001C1DD7" w:rsidRPr="00030AAD">
        <w:rPr>
          <w:rFonts w:ascii="Times New Roman" w:hAnsi="Times New Roman" w:cs="Times New Roman"/>
          <w:color w:val="000000"/>
          <w:sz w:val="24"/>
          <w:szCs w:val="24"/>
        </w:rPr>
        <w:fldChar w:fldCharType="separate"/>
      </w:r>
      <w:r w:rsidR="001C1DD7" w:rsidRPr="00030AAD">
        <w:rPr>
          <w:rFonts w:ascii="Times New Roman" w:hAnsi="Times New Roman" w:cs="Times New Roman"/>
          <w:noProof/>
          <w:color w:val="000000"/>
          <w:sz w:val="24"/>
          <w:szCs w:val="24"/>
          <w:vertAlign w:val="superscript"/>
        </w:rPr>
        <w:t>2</w:t>
      </w:r>
      <w:r w:rsidR="001C1DD7" w:rsidRPr="00030AAD">
        <w:rPr>
          <w:rFonts w:ascii="Times New Roman" w:hAnsi="Times New Roman" w:cs="Times New Roman"/>
          <w:color w:val="000000"/>
          <w:sz w:val="24"/>
          <w:szCs w:val="24"/>
        </w:rPr>
        <w:fldChar w:fldCharType="end"/>
      </w:r>
      <w:r w:rsidR="001F5BE3" w:rsidRPr="00030AAD">
        <w:rPr>
          <w:rFonts w:ascii="Times New Roman" w:hAnsi="Times New Roman" w:cs="Times New Roman"/>
          <w:color w:val="000000"/>
          <w:sz w:val="24"/>
          <w:szCs w:val="24"/>
        </w:rPr>
        <w:t xml:space="preserve">  </w:t>
      </w:r>
      <w:r w:rsidR="005F3C6F" w:rsidRPr="00030AAD">
        <w:rPr>
          <w:rFonts w:ascii="Times New Roman" w:hAnsi="Times New Roman" w:cs="Times New Roman"/>
          <w:color w:val="000000"/>
          <w:sz w:val="24"/>
          <w:szCs w:val="24"/>
        </w:rPr>
        <w:t>BMP-2 can help circumvent several of these limitations; several well-designed studies have shown that patients treated with BMP-2 achieve similar long-term outcomes and fusion rates as patients receiving iliac crest autograft.</w:t>
      </w:r>
      <w:r w:rsidR="00030AAD" w:rsidRPr="00030AAD">
        <w:rPr>
          <w:rFonts w:ascii="Times New Roman" w:hAnsi="Times New Roman" w:cs="Times New Roman"/>
          <w:color w:val="000000"/>
          <w:sz w:val="24"/>
          <w:szCs w:val="24"/>
        </w:rPr>
        <w:fldChar w:fldCharType="begin" w:fldLock="1"/>
      </w:r>
      <w:r w:rsidR="00030AAD" w:rsidRPr="00030AAD">
        <w:rPr>
          <w:rFonts w:ascii="Times New Roman" w:hAnsi="Times New Roman" w:cs="Times New Roman"/>
          <w:color w:val="000000"/>
          <w:sz w:val="24"/>
          <w:szCs w:val="24"/>
        </w:rPr>
        <w:instrText>ADDIN CSL_CITATION { "citationItems" : [ { "id" : "ITEM-1", "itemData" : { "DOI" : "10.1016/j.spinee.2009.03.013 [doi]", "ISBN" : "1878-1632", "PMID" : "19447682", "abstract" : "BACKGROUND CONTEXT: Reported fusion rates for spine fusions using iliac crest bone graft (ICBG) vary between 40% and 100% because of different fusion techniques, patient comorbidity, diagnosis and assessment criteria. PURPOSE: We report two-year results of single-level instrumented posterolateral fusions evaluated with radiographs, fine-cut computed tomography (CT) scans with reconstructions and outcome measures. STUDY DESIGN/ SETTING: Retrospective analysis of data from a prospective multicenter randomized clinical controlled trial. PATIENT SAMPLE: Patients with various degenerative diagnoses enrolled in the control arm of a Food and Drug Administration (FDA)-regulated, multicenter trial of single-level decompression and posterolateral fusion for degenerative lumbar disease. OUTCOME MEASURES: Short Form-36 (SF-36), Oswestry Disability Index (ODI), Numeric Rating Scales (0-20) for back, leg, and graft site pain, CT scans, anteroposterior and lateral flexion/extension radiographs. METHODS: Patients enrolled in an FDA-regulated, multicenter trial at 29 sites with degenerative lumbar disease treated with single-level instrumented posterolateral fusion with ICBG were included in the analysis. Demographic and surgical data were collected. Clinical outcomes were followed using standard metrics. Fusion was assessed by independent radiologists at 6, 12, and 24 months postoperatively. Two fusion criteria were compared: anteroposterior and flexion/extension radiographs to assess motion and bridging bone, with CT scans as needed to confirm bridging bone; and CT scan assessment for bridging bone only. RESULTS: One hundred ninety-four of 224 subjects (86.6%) completed the study. The mean operative time was 2.9 hours with a blood loss of 448.6 mL. The average graft volume was 36.3 mL. There were 21 (9.4%) wound infections, 18 (8.0%) incidental durotomies, 3 (1.3%) implant displacements, 2 (0.9%) malpositioned implants, and 17 (7.6%) graft-related complications. Twenty-seven patients (13.9%) required reoperation, the majority for nonunions. Fusion rates based on radiographs with selective CTs at 6, 12, and 24 months were 65.3%, 82.5%, and 89.3%, respectively. Fusion rates based on bridging bone on CT scans were 56.1%, 71.5%, 83.9%, respectively. Two-year improvement for all outcome measures was significant (p&lt;.001)-ODI 25.3, SF-36 Physical Component Score (PCS) 12.2, back pain 7.9, and leg pain 7.1. Two years postoperatively, 60% of patients complained of graft site p\u2026", "author" : [ { "dropping-particle" : "", "family" : "2nd", "given" : "J R Dimar", "non-dropping-particle" : "", "parse-names" : false, "suffix" : "" }, { "dropping-particle" : "", "family" : "Glassman", "given" : "S D", "non-dropping-particle" : "", "parse-names" : false, "suffix" : "" }, { "dropping-particle" : "", "family" : "Burkus", "given" : "J K", "non-dropping-particle" : "", "parse-names" : false, "suffix" : "" }, { "dropping-particle" : "", "family" : "Pryor", "given" : "P W", "non-dropping-particle" : "", "parse-names" : false, "suffix" : "" }, { "dropping-particle" : "", "family" : "Hardacker", "given" : "J W", "non-dropping-particle" : "", "parse-names" : false, "suffix" : "" }, { "dropping-particle" : "", "family" : "Carreon", "given" : "L Y", "non-dropping-particle" : "", "parse-names" : false, "suffix" : "" } ], "container-title" : "The spine journal : official journal of the North American Spine Society", "id" : "ITEM-1", "issue" : "11", "issued" : { "date-parts" : [ [ "2009", "11" ] ] }, "note" : "JID: 101130732; CIN: Spine J. 2009 Nov;9(11):873-9. PMID: 19850231; CIN: Spine J. 2009 Nov;9(11):916-8. PMID: 19631590; 2008/08/20 [received]; 2009/03/18 [revised]; 2009/03/31 [accepted]; 2009/05/17 [aheadofprint]; ppublish", "page" : "880-885", "title" : "Two-year fusion and clinical outcomes in 224 patients treated with a single-level instrumented posterolateral fusion with iliac crest bone graft", "type" : "article-journal", "volume" : "9" }, "uris" : [ "http://www.mendeley.com/documents/?uuid=43421cca-5b85-463d-b54f-a7e8f9105c97" ] }, { "id" : "ITEM-2", "itemData" : { "DOI" : "10.2106/JBJS.O.00209", "ISSN" : "1535-1386", "PMID" : "26984911", "abstract" : "BACKGROUND Spinal fusion with the use of autograft is a commonly performed procedure. However, harvesting of bone from the iliac crest is associated with complications. Bone morphogenetic proteins (BMPs) are extensively used as alternatives, often without sufficient evidence of safety and efficacy. The purpose of this study was to investigate non-inferiority of osteogenic protein-1 (OP-1, also known as BMP-7) in comparison with iliac crest bone graft in posterolateral fusions. METHODS This study was a randomized, controlled multicenter trial. Patients who underwent a single-level instrumented posterolateral fusion of the lumbar spine for degenerative or isthmic spondylolisthesis with symptoms of neurological compression were randomized to receive OP-1 combined with local bone (OP-1 group) or autologous bone graft from the iliac crest combined with local bone (autograft group). The primary outcome was overall success, defined as a combination of clinical success and evidence of fusion on computed tomography (CT) scans, at one year postoperatively. RESULTS One hundred and nineteen patients were included in the study, and analysis of the overall outcome was performed for 113. Non-inferiority of OP-1 compared with iliac crest autograft was not found at one year, with a success rate of 40% in the OP-1 group versus 54% in the autograft group (risk difference = -13.3%, 90% confidence interval [CI] = -28.6% to +2.10%). This was due to the lower rate of fusion (the primary aim of OP-1 application) seen on the CT scans in the OP-1 group (54% versus 74% in the autograft group, p = 0.03). There were no adverse events that could be directly related to the use of OP-1. CONCLUSIONS OP-1 with a collagen carrier was not as effective as autologous iliac crest bone for achieving fusion and cannot be recommended in instrumented posterolateral lumbar fusion procedures. LEVEL OF EVIDENCE Therapeutic Level I. See Instructions for Authors for a complete description of levels of evidence.", "author" : [ { "dropping-particle" : "", "family" : "Delawi", "given" : "Diyar", "non-dropping-particle" : "", "parse-names" : false, "suffix" : "" }, { "dropping-particle" : "", "family" : "Jacobs", "given" : "Wilco", "non-dropping-particle" : "", "parse-names" : false, "suffix" : "" }, { "dropping-particle" : "", "family" : "Susante", "given" : "Job L C", "non-dropping-particle" : "van", "parse-names" : false, "suffix" : "" }, { "dropping-particle" : "", "family" : "Rillardon", "given" : "Ludovic", "non-dropping-particle" : "", "parse-names" : false, "suffix" : "" }, { "dropping-particle" : "", "family" : "Prestamburgo", "given" : "Domenico", "non-dropping-particle" : "", "parse-names" : false, "suffix" : "" }, { "dropping-particle" : "", "family" : "Specchia", "given" : "Nicola", "non-dropping-particle" : "", "parse-names" : false, "suffix" : "" }, { "dropping-particle" : "", "family" : "Gay", "given" : "Emmanuel", "non-dropping-particle" : "", "parse-names" : false, "suffix" : "" }, { "dropping-particle" : "", "family" : "Verschoor", "given" : "Nico", "non-dropping-particle" : "", "parse-names" : false, "suffix" : "" }, { "dropping-particle" : "", "family" : "Garcia-Fernandez", "given" : "Carlos", "non-dropping-particle" : "", "parse-names" : false, "suffix" : "" }, { "dropping-particle" : "", "family" : "Guerado", "given" : "Enrique", "non-dropping-particle" : "", "parse-names" : false, "suffix" : "" }, { "dropping-particle" : "", "family" : "Quarles van Ufford", "given" : "Henriette", "non-dropping-particle" : "", "parse-names" : false, "suffix" : "" }, { "dropping-particle" : "", "family" : "Kruyt", "given" : "Moyo C", "non-dropping-particle" : "", "parse-names" : false, "suffix" : "" }, { "dropping-particle" : "", "family" : "Dhert", "given" : "Wouter J A", "non-dropping-particle" : "", "parse-names" : false, "suffix" : "" }, { "dropping-particle" : "", "family" : "Oner", "given" : "F Cumhur", "non-dropping-particle" : "", "parse-names" : false, "suffix" : "" } ], "container-title" : "The Journal of bone and joint surgery. American volume", "id" : "ITEM-2", "issue" : "6", "issued" : { "date-parts" : [ [ "2016", "3", "16" ] ] }, "page" : "441-8", "title" : "OP-1 Compared with Iliac Crest Autograft in Instrumented Posterolateral Fusion: A Randomized, Multicenter Non-Inferiority Trial.", "type" : "article-journal", "volume" : "98" }, "uris" : [ "http://www.mendeley.com/documents/?uuid=8f67cb98-5916-40a7-8b19-87150bdcbe42" ] } ], "mendeley" : { "formattedCitation" : "&lt;sup&gt;7,8&lt;/sup&gt;", "plainTextFormattedCitation" : "7,8", "previouslyFormattedCitation" : "&lt;sup&gt;7,8&lt;/sup&gt;" }, "properties" : { "noteIndex" : 0 }, "schema" : "https://github.com/citation-style-language/schema/raw/master/csl-citation.json" }</w:instrText>
      </w:r>
      <w:r w:rsidR="00030AAD"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7,8</w:t>
      </w:r>
      <w:r w:rsidR="00030AAD" w:rsidRPr="00030AAD">
        <w:rPr>
          <w:rFonts w:ascii="Times New Roman" w:hAnsi="Times New Roman" w:cs="Times New Roman"/>
          <w:color w:val="000000"/>
          <w:sz w:val="24"/>
          <w:szCs w:val="24"/>
        </w:rPr>
        <w:fldChar w:fldCharType="end"/>
      </w:r>
      <w:r w:rsidR="005F3C6F" w:rsidRPr="00030AAD">
        <w:rPr>
          <w:rFonts w:ascii="Times New Roman" w:hAnsi="Times New Roman" w:cs="Times New Roman"/>
          <w:color w:val="000000"/>
          <w:sz w:val="24"/>
          <w:szCs w:val="24"/>
        </w:rPr>
        <w:t xml:space="preserve"> Unfortunately, BMP-2 is expensive</w:t>
      </w:r>
      <w:r w:rsidR="00030AAD" w:rsidRPr="00030AAD">
        <w:rPr>
          <w:rFonts w:ascii="Times New Roman" w:hAnsi="Times New Roman" w:cs="Times New Roman"/>
          <w:color w:val="000000"/>
          <w:sz w:val="24"/>
          <w:szCs w:val="24"/>
        </w:rPr>
        <w:fldChar w:fldCharType="begin" w:fldLock="1"/>
      </w:r>
      <w:r w:rsidR="00030AAD" w:rsidRPr="00030AAD">
        <w:rPr>
          <w:rFonts w:ascii="Times New Roman" w:hAnsi="Times New Roman" w:cs="Times New Roman"/>
          <w:color w:val="000000"/>
          <w:sz w:val="24"/>
          <w:szCs w:val="24"/>
        </w:rPr>
        <w:instrText>ADDIN CSL_CITATION { "citationItems" : [ { "id" : "ITEM-1", "itemData" : { "DOI" : "10.1016/j.spinee.2007.03.004", "ISSN" : "1529-9430", "PMID" : "17526436", "abstract" : "BACKGROUND CONTEXT There is mounting evidence supporting the efficacy of bone morphogenetic protein (BMP) for both anterior interbody and posterolateral lumbar fusion. However, the relative cost of BMP remains an important concern for physicians, hospitals, and payers. PURPOSE The purpose of this study is to report on the perioperative costs for patients treated with rhBMP-2 as compared with an iliac crest bone graft (ICBG) supplemented with graft extenders. STUDY DESIGN/SETTING A prospective randomized controlled trial of rhBMP-2/ACS (Infuse Bone Graft; Medtronic Sofamor Danek, Memphis, TN) versus ICBG+/-graft extender for lumbar spine fusion in patients over 60 years old. PATIENT SAMPLE One hundred two patients over 60 years old who required a posterolateral lumbar spine fusion randomized between receiving rhBMP-2/ACS or ICBG. OUTCOME MEASURES All health-care costs over the first 3 months after surgery. METHODS As part of a prospective randomized trial of rhBMP-2/ACS versus ICBG+/-graft extender for lumbar spine fusion, all costs over the first 3 months after surgery were directly recorded by a dedicated coder funded by Norton Healthcare, Louisville, KY. A dedicated research nurse also followed all patients throughout their hospital stay and posthospitalization recovery to identify any adverse events or additional outpatient medical care. RESULTS Fifty patients received rhBMP-2/ACS and 52 underwent ICBG harvest. The mean hospital cost for the index admission was $24,736 for the rhBMP-2/ACS group and $21,138 for the ICBG group. Mean inpatient physician costs were $5,082 in the rhBMP-2/ACS group and $5,316 in the ICBG group. Costs associated with posthospital rehabilitation averaged $4,906 in the rhBMP-2/ACS group versus $6,820 in the ICBG group. Total payer expenditure for the 3-month perioperative period averaged $33,860 in the rhBMP-2/ACS group and $37,227 in the ICBG group. CONCLUSIONS The hospital carries the cost burden associated with the utilization of rhBMP-2/ACS. In contrast, the payer in a Diagnosis-Related Group (DRG) model achieves a net savings, based primarily on the decreased payment for inpatient rehabilitation, but also on decreased hospital reimbursement, physician costs, and other outpatient services.", "author" : [ { "dropping-particle" : "", "family" : "Glassman", "given" : "Steven D", "non-dropping-particle" : "", "parse-names" : false, "suffix" : "" }, { "dropping-particle" : "", "family" : "Carreon", "given" : "Leah Y", "non-dropping-particle" : "", "parse-names" : false, "suffix" : "" }, { "dropping-particle" : "", "family" : "Campbell", "given" : "Mitchell J", "non-dropping-particle" : "", "parse-names" : false, "suffix" : "" }, { "dropping-particle" : "", "family" : "Johnson", "given" : "John R", "non-dropping-particle" : "", "parse-names" : false, "suffix" : "" }, { "dropping-particle" : "", "family" : "Puno", "given" : "Rolando M", "non-dropping-particle" : "", "parse-names" : false, "suffix" : "" }, { "dropping-particle" : "", "family" : "Djurasovic", "given" : "Mladen", "non-dropping-particle" : "", "parse-names" : false, "suffix" : "" }, { "dropping-particle" : "", "family" : "Dimar", "given" : "John R", "non-dropping-particle" : "", "parse-names" : false, "suffix" : "" } ], "container-title" : "The spine journal : official journal of the North American Spine Society", "id" : "ITEM-1", "issue" : "3", "issued" : { "date-parts" : [ [ "0" ] ] }, "page" : "443-8", "title" : "The perioperative cost of Infuse bone graft in posterolateral lumbar spine fusion.", "type" : "article-journal", "volume" : "8" }, "uris" : [ "http://www.mendeley.com/documents/?uuid=aa686669-c143-4677-aaca-b92f5cc4e832" ] }, { "id" : "ITEM-2", "itemData" : { "DOI" : "10.1097/BRS.0000000000000548", "ISSN" : "1528-1159", "PMID" : "25299264", "abstract" : "STUDY DESIGN Systematic review. OBJECTIVE To evaluate the cost-effectiveness of lumbar or cervical spinal arthrodesis using biological substitutes and extenders compared with iliac crest autograft for the treatment of degenerative spinal conditions. SUMMARY OF BACKGROUND DATA The cost-effectiveness of using bone graft substitutes and extenders for spinal fusion compared with using iliac crest autograft is not yet well established. METHODS A systematic search of PubMed/MEDLINE, the Cochrane Collaboration Library, EMBASE, the CRD (Centre for Reviews and Dissemination) database, and Tuft's CEA registry for literature published through December 2013 was performed to identify full formal economic analyses comparing the use of biological grafts with iliac crest bone graft in spinal fusion for thoracolumbar or cervical degenerative, deformity, and traumatic spinal conditions. Economic outcomes such as cost per improved outcome or cost per quality-adjusted life year were reported in the context of the model type, analytic perspective clinical comparisons, and sensitivity analyses employed. RESULTS The search strategy yielded 88 citations, and 6 full economic analyses ultimately met our inclusion criteria. For the comparison of recombinant human bone morphogenetic protein-2 to iliac crest bone graft in the lumbar spine, data from 4 cost-effectiveness studies and 1 cost-utility study provided discordant conclusions that varied with type of data used, cost-measurement methods, and study design. In the cervical spine, one study suggested that from a societal perspective, anterior cervical discectomy and fusion (ACDF) with allograft is similarly cost-effective as ACDF with autograft. CONCLUSION The results suggest that compared with use of iliac crest bone graft in lumbar spinal fusion, use of recombinant human bone morphogenetic protein is not cost-effective from a payer perspective with higher upfront costs, but it may be cost-effective from a societal perspective due to a decrease in lost productivity. The data in this study also suggest that from a societal perspective, ACDF with allograft is similarly cost-effective to ACDF with autograft. LEVEL OF EVIDENCE 3.", "author" : [ { "dropping-particle" : "", "family" : "Hsu", "given" : "Wellington K", "non-dropping-particle" : "", "parse-names" : false, "suffix" : "" }, { "dropping-particle" : "", "family" : "Hashimoto", "given" : "Robin E", "non-dropping-particle" : "", "parse-names" : false, "suffix" : "" }, { "dropping-particle" : "", "family" : "Berven", "given" : "Sigurd H", "non-dropping-particle" : "", "parse-names" : false, "suffix" : "" }, { "dropping-particle" : "", "family" : "Nassr", "given" : "Ahmad", "non-dropping-particle" : "", "parse-names" : false, "suffix" : "" } ], "container-title" : "Spine", "id" : "ITEM-2", "issue" : "22 Suppl 1", "issued" : { "date-parts" : [ [ "2014", "10", "15" ] ] }, "page" : "S86-98", "title" : "Biological substitutes/extenders for spinal arthrodesis: which agents are cost-effective?", "type" : "article-journal", "volume" : "39" }, "uris" : [ "http://www.mendeley.com/documents/?uuid=1b34d2ba-bbf2-476a-9fc3-eaafcc13c5c2" ] } ], "mendeley" : { "formattedCitation" : "&lt;sup&gt;9,10&lt;/sup&gt;", "plainTextFormattedCitation" : "9,10", "previouslyFormattedCitation" : "&lt;sup&gt;9,10&lt;/sup&gt;" }, "properties" : { "noteIndex" : 0 }, "schema" : "https://github.com/citation-style-language/schema/raw/master/csl-citation.json" }</w:instrText>
      </w:r>
      <w:r w:rsidR="00030AAD"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9,10</w:t>
      </w:r>
      <w:r w:rsidR="00030AAD" w:rsidRPr="00030AAD">
        <w:rPr>
          <w:rFonts w:ascii="Times New Roman" w:hAnsi="Times New Roman" w:cs="Times New Roman"/>
          <w:color w:val="000000"/>
          <w:sz w:val="24"/>
          <w:szCs w:val="24"/>
        </w:rPr>
        <w:fldChar w:fldCharType="end"/>
      </w:r>
      <w:r w:rsidR="005F3C6F" w:rsidRPr="00030AAD">
        <w:rPr>
          <w:rFonts w:ascii="Times New Roman" w:hAnsi="Times New Roman" w:cs="Times New Roman"/>
          <w:color w:val="000000"/>
          <w:sz w:val="24"/>
          <w:szCs w:val="24"/>
        </w:rPr>
        <w:t xml:space="preserve"> and has been linked to complications such as </w:t>
      </w:r>
      <w:r w:rsidR="00DF74BF" w:rsidRPr="00030AAD">
        <w:rPr>
          <w:rFonts w:ascii="Times New Roman" w:hAnsi="Times New Roman" w:cs="Times New Roman"/>
          <w:color w:val="000000"/>
          <w:sz w:val="24"/>
          <w:szCs w:val="24"/>
        </w:rPr>
        <w:t xml:space="preserve">wound problems, </w:t>
      </w:r>
      <w:r w:rsidR="001F5BE3" w:rsidRPr="00030AAD">
        <w:rPr>
          <w:rFonts w:ascii="Times New Roman" w:hAnsi="Times New Roman" w:cs="Times New Roman"/>
          <w:color w:val="000000"/>
          <w:sz w:val="24"/>
          <w:szCs w:val="24"/>
        </w:rPr>
        <w:t>post-operative l</w:t>
      </w:r>
      <w:r w:rsidR="00B826F1" w:rsidRPr="00030AAD">
        <w:rPr>
          <w:rFonts w:ascii="Times New Roman" w:hAnsi="Times New Roman" w:cs="Times New Roman"/>
          <w:color w:val="000000"/>
          <w:sz w:val="24"/>
          <w:szCs w:val="24"/>
        </w:rPr>
        <w:t>eg pain, ectopic bone formation and</w:t>
      </w:r>
      <w:r w:rsidR="001F5BE3" w:rsidRPr="00030AAD">
        <w:rPr>
          <w:rFonts w:ascii="Times New Roman" w:hAnsi="Times New Roman" w:cs="Times New Roman"/>
          <w:color w:val="000000"/>
          <w:sz w:val="24"/>
          <w:szCs w:val="24"/>
        </w:rPr>
        <w:t xml:space="preserve"> retrograde ejaculation</w:t>
      </w:r>
      <w:r w:rsidR="00B826F1" w:rsidRPr="00030AAD">
        <w:rPr>
          <w:rFonts w:ascii="Times New Roman" w:hAnsi="Times New Roman" w:cs="Times New Roman"/>
          <w:color w:val="000000"/>
          <w:sz w:val="24"/>
          <w:szCs w:val="24"/>
        </w:rPr>
        <w:t>.</w:t>
      </w:r>
      <w:r w:rsidR="00B826F1" w:rsidRPr="00030AAD">
        <w:rPr>
          <w:rFonts w:ascii="Times New Roman" w:hAnsi="Times New Roman" w:cs="Times New Roman"/>
          <w:color w:val="000000"/>
          <w:sz w:val="24"/>
          <w:szCs w:val="24"/>
        </w:rPr>
        <w:fldChar w:fldCharType="begin" w:fldLock="1"/>
      </w:r>
      <w:r w:rsidR="00030AAD" w:rsidRPr="00030AAD">
        <w:rPr>
          <w:rFonts w:ascii="Times New Roman" w:hAnsi="Times New Roman" w:cs="Times New Roman"/>
          <w:color w:val="000000"/>
          <w:sz w:val="24"/>
          <w:szCs w:val="24"/>
        </w:rPr>
        <w:instrText>ADDIN CSL_CITATION { "citationItems" : [ { "id" : "ITEM-1", "itemData" : { "DOI" : "10.1016/j.spinee.2013.08.060 [doi]", "ISBN" : "1878-1632", "PMID" : "24412416", "abstract" : "BACKGROUND CONTEXT: Recombinant human bone morphogenetic protein 2 (rhBMP-2) is a very potent osteogenic growth factor that has been used successfully in various spine fusions, obviating the need for autologous iliac crest bone graft harvest and therefore avoiding the associated morbidities. PURPOSE: In the past few years, a tremendous increase in rhBMP-2 usage was noted, and concerns regarding costs, benefits, and safety issues were raised by many. The goal of this work was to provide a comprehensive review of the adverse events and complications associated with use of rhBMP-2. STUDY DESIGN: Literature review. METHODS: This is a review of the current literature on the reported adverse events, complications, and concerns associated with rhBMP-2 use. RESULTS: This article discusses the wide spectrum of adverse outcomes related to rhBMP-2 use in the lumbar and the cervical spine; retrograde ejaculation, antibodies formation, postoperative radiculitis, postoperative nerve root injury, ectopic bone formation, vertebral osteolysis/edema, dysphagia and neck swelling, hematoma formation, interbody graft lucency, and wound healing complications are reviewed. Cost-related concerns, dosage considerations, carrier types, and theoretical carcinogenesis concerns were also presented. CONCLUSIONS: Despite the excellent spinal fusion rates promoted by this powerful molecule, the increasingly reported adverse outcomes associated with bone morphogenetic protein usage have created real concerns. This article will provide the reader with a good understanding of the reported complications associated with rhBMP-2 use and ultimately help recognize its safety spectrum and limits for better clinical application.", "author" : [ { "dropping-particle" : "", "family" : "Tannoury", "given" : "C A", "non-dropping-particle" : "", "parse-names" : false, "suffix" : "" }, { "dropping-particle" : "", "family" : "An", "given" : "H S", "non-dropping-particle" : "", "parse-names" : false, "suffix" : "" } ], "container-title" : "The spine journal : official journal of the North American Spine Society", "id" : "ITEM-1", "issue" : "3", "issued" : { "date-parts" : [ [ "2014", "3" ] ] }, "note" : "From Duplicate 1 (Complications with the use of bone morphogenetic protein 2 (BMP-2) in spine surgery - Tannoury, C A; An, H S)\n\nCI: Copyright (c) 2014; JID: 101130732; OTO: NOTNLM; 2012/08/14 [received]; 2013/07/16 [revised]; 2013/08/23 [accepted]; 2014/01/08 [aheadofprint]; ppublish\n\nFrom Duplicate 2 (Complications with the use of bone morphogenetic protein 2 (BMP-2) in spine surgery - Tannoury, C A; An, H S)\n\nCI: Copyright (c) 2014; JID: 101130732; 0 (Bone Morphogenetic Protein 2); 0 (Recombinant Proteins); 0 (Transforming Growth Factor beta); 0 (recombinant human bone morphogenetic protein-2); OTO: NOTNLM; 2012/08/14 [received]; 2013/07/16 [revised]; 2013/08/23 [accepted]; 2014/01/08 [aheadofprint]; ppublish", "page" : "552-559", "title" : "Complications with the use of bone morphogenetic protein 2 (BMP-2) in spine surgery", "type" : "article-journal", "volume" : "14" }, "uris" : [ "http://www.mendeley.com/documents/?uuid=34614303-a484-4d10-b2ae-f103af5f743e" ] }, { "id" : "ITEM-2", "itemData" : { "DOI" : "10.1016/j.spinee.2011.02.013 [doi]", "ISBN" : "1878-1632", "PMID" : "21612985", "abstract" : "BACKGROUND CONTEXT: The commercially available growth factor recombinant bone morphogenic protein-2 (rhBMP-2) used in spinal fusion has been associated with numerous adverse reactions, including inflammatory reactions in soft tissue, heterotopic bone formation, radiculitis, osteolysis, and cage or graft subsidence. The original Food and Drug Administration Summary of anterior lumbar interbody fusion (ALIF) reported 12 retrograde ejaculation (RE) events (8%) in the rhBMP-2 groups compared with (1.4%) in the control group. It had been debated whether this finding was related to rhBMP-2 use. PURPOSE: To compare the incidence of RE after ALIF in patients with and without rhBMP-2 use. STUDY DESIGN: Retrospective analysis of prospectively gathered outcomes data on consecutive subjects having ALIF with and without rhBMP-2 use. PATIENT SAMPLE: Male patients with lumbar spondylosis or spondylolisthesis having ALIF of the lowest one or two lumbar levels with and without rhBMP-2. OUTCOME MEASURE: Report of RE as a new finding after ALIF. METHODS: From the comprehensive outcome database at a high-volume university practice, male subjects having ALIF for one- (L5/S1) or two-level (L4/L5, L5/S1) lumbar fusion were identified. Retrograde ejaculation events were recorded and comparative incidence compared. RESULTS: The two groups were comparable for age and additional procedures performed. There were 69 L5/S1 ALIFs performed with rhBMP-2 and 174 ALIFs performed without rhBMP-2 during the study period. Of those, 24 and 64 were two-level ALIFs performed with and without rhBMP-2, respectively. There were five RE events (7.2%) reported in the rhBMP-2 group and 1 (0.6%) in the control group. Comparing single-level L5/S1 ALIF, there was a 6.7% and 0% rate of RE in the rhBMP-2 versus control groups, respectively. At 1 year after surgery, three of six affected subjects reported resolution of the RE. CONCLUSION: This study confirms previous reports of a higher rate of RE in ALIF procedures using rhBMP-2. This may be an important consideration in subjects concerned with sterility after surgery.", "author" : [ { "dropping-particle" : "", "family" : "Carragee", "given" : "E J", "non-dropping-particle" : "", "parse-names" : false, "suffix" : "" }, { "dropping-particle" : "", "family" : "Mitsunaga", "given" : "K A", "non-dropping-particle" : "", "parse-names" : false, "suffix" : "" }, { "dropping-particle" : "", "family" : "Hurwitz", "given" : "E L", "non-dropping-particle" : "", "parse-names" : false, "suffix" : "" }, { "dropping-particle" : "", "family" : "Scuderi", "given" : "G J", "non-dropping-particle" : "", "parse-names" : false, "suffix" : "" } ], "container-title" : "The spine journal : official journal of the North American Spine Society", "id" : "ITEM-2", "issue" : "6", "issued" : { "date-parts" : [ [ "2011", "6" ] ] }, "note" : "CI: Copyright (c) 2011; JID: 101130732; 0 (Bone Morphogenetic Protein 2); 0 (Recombinant Proteins); 0 (Transforming Growth Factor beta); 0 (recombinant human bone morphogenetic protein-2); CIN: Spine J. 2011 Jul;11(7):686; author reply 687-90. PMID: 21767996; CIN: Spine J. 2011 Aug;11(8):703-4. PMID: 21925414; CIN: Spine J. 2011 Jun;11(6):517-9. PMID: 21612984; CIN: Spine J. 2011 Jun;11(6):520-1. PMID: 21612986; CIN: Spine J. 2011 Aug;11(8):800-1; author reply 801. PMID: 21778121; 2011/02/14 [received]; 2011/03/16 [revised]; 2011/04/30 [accepted]; 2011/05/25 [aheadofprint]; ppublish", "page" : "511-516", "title" : "Retrograde ejaculation after anterior lumbar interbody fusion using rhBMP-2: a cohort controlled study", "type" : "article-journal", "volume" : "11" }, "uris" : [ "http://www.mendeley.com/documents/?uuid=2587ff6b-6c80-4c4f-b7a9-c25e1614c831" ] }, { "id" : "ITEM-3", "itemData" : { "DOI" : "10.7326/0003-4819-158-12-201306180-00006 [doi]", "ISBN" : "1539-3704", "PMID" : "23778906", "abstract" : "BACKGROUND: Recombinant human bone morphogenetic protein-2 (rhBMP-2) is used as a bone graft substitute in spinal fusion, which unites (fuses) bones in the spine. The accuracy and completeness of journal publications of industry-sponsored trials on the effectiveness and harms of rhBMP-2 has been called into question. PURPOSE: To independently assess the effectiveness and harms of rhBMP-2 in spinal fusion and reporting bias in industry-sponsored journal publications. DATA SOURCES: Individual-patient data (IPD) from 17 industry-sponsored studies; related internal documents; and searches of MEDLINE (1996 to August 2012), other databases, and reference lists. STUDY SELECTION: Randomized, controlled trials (RCTs) and cohort studies of rhBMP-2 versus any control and uncontrolled studies of harms. DATA EXTRACTION: Effectiveness outcomes in IPD were recalculated using consistent definitions. Study characteristics and results were abstracted by 1 investigator and confirmed by another. Two investigators independently assessed quality using predefined criteria. DATA SYNTHESIS: Thirteen RCTs and 31 cohort studies were included. For lumbar spine fusion, rhBMP-2 and iliac crest bone graft were similar in overall success, fusion, and other effectiveness measures and in risk for any adverse event, although rates were high across interventions (77% to 93% at 24 months from surgery). For anterior lumbar interbody fusion, rhBMP-2 was associated with nonsignificantly increased risk for retrograde ejaculation and urogenital problems. For anterior cervical spine fusion, rhBMP-2 was associated with increased risk for wound complications and dysphagia. At 24 months, the cancer risk was increased with rhBMP-2 (risk ratio, 3.45 [95% CI, 1.98 to 6.00]), but event rates were low and cancer was heterogeneous. Early journal publications misrepresented the effectiveness and harms through selective reporting, duplicate publication, and underreporting. LIMITATIONS: Outcome assessment was not blinded, and ascertainment of harms in trials was poor. No trials were truly independent of industry sponsorship. CONCLUSION: In spinal fusion, rhBMP-2 has no proven clinical advantage over bone graft and may be associated with important harms, making it difficult to identify clear indications for rhBMP-2. Earlier disclosure of all relevant data would have better informed clinicians and the public than the initial published trial reports did. PRIMARY FUNDING SOURCE: Yale University and Medtronic.", "author" : [ { "dropping-particle" : "", "family" : "Fu", "given" : "R", "non-dropping-particle" : "", "parse-names" : false, "suffix" : "" }, { "dropping-particle" : "", "family" : "Selph", "given" : "S", "non-dropping-particle" : "", "parse-names" : false, "suffix" : "" }, { "dropping-particle" : "", "family" : "McDonagh", "given" : "M", "non-dropping-particle" : "", "parse-names" : false, "suffix" : "" }, { "dropping-particle" : "", "family" : "Peterson", "given" : "K", "non-dropping-particle" : "", "parse-names" : false, "suffix" : "" }, { "dropping-particle" : "", "family" : "Tiwari", "given" : "A", "non-dropping-particle" : "", "parse-names" : false, "suffix" : "" }, { "dropping-particle" : "", "family" : "Chou", "given" : "R", "non-dropping-particle" : "", "parse-names" : false, "suffix" : "" }, { "dropping-particle" : "", "family" : "Helfand", "given" : "M", "non-dropping-particle" : "", "parse-names" : false, "suffix" : "" } ], "container-title" : "Annals of Internal Medicine", "id" : "ITEM-3", "issue" : "12", "issued" : { "date-parts" : [ [ "2013", "6" ] ] }, "note" : "JID: 0372351; 0 (Bone Morphogenetic Protein 2); 0 (Recombinant Proteins); 0 (Transforming Growth Factor beta); 0 (recombinant human bone morphogenetic protein-2); CIN: Ann Intern Med. 2013 Jun 18;158(12):910-1. PMID: 23778908; CIN: Ann Intern Med. 2013 Jun 18;158(12):916-8. PMID: 23778911; CIN: Ann Intern Med. 2013 Jun 18;158(12):912-3. PMID: 23778909; CIN: Ann Intern Med. 2013 Jun 18;158(12):914-5. PMID: 23778910; ppublish", "page" : "890-902", "title" : "Effectiveness and harms of recombinant human bone morphogenetic protein-2 in spine fusion: a systematic review and meta-analysis", "type" : "article-journal", "volume" : "158" }, "uris" : [ "http://www.mendeley.com/documents/?uuid=69fe6414-6629-4c70-8aea-01a6316361bb" ] }, { "id" : "ITEM-4", "itemData" : { "DOI" : "10.1001/jama.2009.956 [doi]", "ISBN" : "1538-3598", "PMID" : "19567440", "abstract" : "CONTEXT: No national data exist to examine use of bone-morphogenetic proteins (BMPs) in spinal fusion surgery. OBJECTIVE: To determine the patterns of use and rates of complications and financial charges associated with BMP use in spinal fusion nationally. DESIGN, SETTING, AND PATIENTS: Retrospective cohort study of 328,468 patients undergoing spinal fusion procedures from 2002-2006 identified from the Nationwide Inpatient Sample database, a 20% sample of US community hospitals. MAIN OUTCOME MEASURES: The rates of use of BMP among patients undergoing spinal fusion procedures are examined along with complications, length of stay, and hospital charges associated with use of this fusion adjunct. RESULTS: The nationwide usage of BMP has increased from 0.69% of all fusions in 2002 to 24.89% of all fusions in 2006. Use of BMP varied by patient sex, race, and primary payer with increased use seen in women (56.26% with BMP vs 53.35% without BMP; odds ratio [OR], 1.12; 95% confidence interval, [CI], 1.09-1.16) and Medicare patients (29.62% with BMP vs 27.16% without BMP; OR, 1.43; 95% CI, 1.31-1.56) and decreased use in nonwhite patients (8.69% with BMP vs 10.23% without BMP; OR, 0.80; 95% CI, 0.75-0.85). When comparing immediate postoperative, in-hospital rates of complications for the year 2006 among patients undergoing spinal fusion by BMP use status, no differences were seen for lumbar, thoracic, or posterior cervical procedures. On univariate analysis and after multivariable adjustment, the use of BMP in anterior cervical fusion procedures was associated with a higher rate of complication occurrence (7.09% with BMP vs 4.68% without BMP; adjusted OR, 1.43; 95% CI, 1.12-1.70) with the primary increases seen in wound-related complications (1.22% with BMP vs 0.65% without BMP; adjusted OR, 1.67; 95% CI, 1.10- 2.53) and dysphagia or hoarseness (4.35% with BMP vs 2.45% without BMP; adjusted OR, 1.63; 95% CI, 1.30-2.05). Bone-morphogenetic protein use was associated with greater inpatient hospital charges across all categories of fusion. Increases between 11% and 41% of total hospital charges were reported, with the greatest percentage increase seen for anterior cervical fusion. CONCLUSION: Bone-morphogenetic protein was used in approximately 25% of all spinal fusions nationally in 2006, with use associated with more frequent complications for anterior cervical fusions and with greater hospital charges for all categories of fusions.", "author" : [ { "dropping-particle" : "", "family" : "Cahill", "given" : "K S", "non-dropping-particle" : "", "parse-names" : false, "suffix" : "" }, { "dropping-particle" : "", "family" : "Chi", "given" : "J H", "non-dropping-particle" : "", "parse-names" : false, "suffix" : "" }, { "dropping-particle" : "", "family" : "Day", "given" : "A", "non-dropping-particle" : "", "parse-names" : false, "suffix" : "" }, { "dropping-particle" : "", "family" : "Claus", "given" : "E B", "non-dropping-particle" : "", "parse-names" : false, "suffix" : "" } ], "container-title" : "JAMA : the journal of the American Medical Association", "id" : "ITEM-4", "issue" : "1", "issued" : { "date-parts" : [ [ "2009", "7" ] ] }, "note" : "From Duplicate 1 (Prevalence, complications, and hospital charges associated with use of bone-morphogenetic proteins in spinal fusion procedures - Cahill, K S; Chi, J H; Day, A; Claus, E B)\n\nLR: 20140917; JID: 7501160; 0 (Bone Morphogenetic Proteins); CIN: JAMA. 2009 Nov 18;302(19):2090-1; author reply 2091. PMID: 19920232; CIN: Arch Surg. 2009 Nov;144(11):996-7. PMID: 19917933; ppublish\n\nFrom Duplicate 2 (Prevalence, complications, and hospital charges associated with use of bone-morphogenetic proteins in spinal fusion procedures - Cahill, K S; Chi, J H; Day, A; Claus, E B)\n\nLR: 20091123; JID: 7501160; 0 (Bone Morphogenetic Proteins); CIN: JAMA. 2009 Nov 18;302(19):2090-1; author reply 2091. PMID: 19920232; CIN: Arch Surg. 2009 Nov;144(11):996-7. PMID: 19917933; ppublish", "page" : "58-66", "title" : "Prevalence, complications, and hospital charges associated with use of bone-morphogenetic proteins in spinal fusion procedures", "type" : "article-journal", "volume" : "302" }, "uris" : [ "http://www.mendeley.com/documents/?uuid=986c439f-86a8-40fb-9f65-727878f607f9" ] }, { "id" : "ITEM-5", "itemData" : { "DOI" : "10.7326/0003-4819-158-12-201306180-00005 [doi]", "ISBN" : "1539-3704", "PMID" : "23778905", "abstract" : "BACKGROUND: Recombinant human bone morphogenetic protein-2 (rhBMP-2) is widely used to promote fusion in spinal surgery, but its safety has been questioned. PURPOSE: To evaluate the effectiveness and safety of rhBMP-2. DATA SOURCES: Individual-participant data obtained from the sponsor or investigators and data extracted from study publications identified by systematic bibliographic searches through June 2012. STUDY SELECTION: Randomized, controlled trials of rhBMP-2 versus iliac crest bone graft (ICBG) in spinal fusion surgery for degenerative disc disease and related conditions and observational studies in similar populations for investigation of adverse events. DATA EXTRACTION: Individual-participant data from 11 eligible of 17 provided trials sponsored by Medtronic (Minneapolis, Minnesota) (n = 1302) and 1 of 2 other eligible trials (n = 106) were included. Additional aggregate adverse event data were extracted from 35 published observational studies. DATA SYNTHESIS: Primary outcomes were pain (assessed with the Oswestry Disability Index [ODI] or Short Form-36), fusion, and adverse events. At 24 months, ODI scores were 3.5% lower (better) with rhBMP-2 than with ICBG (95% CI, 0.5% to 6.5%) and radiographic fusion was 12% higher (CI, 2% to 23%). At or shortly after surgery, pain was more common with rhBMP-2 (odds ratio, 1.78 [CI, 1.06 to 2.95]). Cancer was more common after rhBMP-2 (relative risk, 1.98 [CI, 0.86 to 4.54]), but the small number of events precluded definite conclusions. LIMITATION: The observational studies were diverse and at risk of bias. CONCLUSION: At 24 months, rhBMP-2 increases fusion rates, reduces pain by a clinically insignificant amount, and increases early postsurgical pain compared with ICBG. Evidence of increased cancer incidence is inconclusive. PRIMARY FUNDING SOURCE: Yale University Open Data Access Project.", "author" : [ { "dropping-particle" : "", "family" : "Simmonds", "given" : "M C", "non-dropping-particle" : "", "parse-names" : false, "suffix" : "" }, { "dropping-particle" : "V", "family" : "Brown", "given" : "J", "non-dropping-particle" : "", "parse-names" : false, "suffix" : "" }, { "dropping-particle" : "", "family" : "Heirs", "given" : "M K", "non-dropping-particle" : "", "parse-names" : false, "suffix" : "" }, { "dropping-particle" : "", "family" : "Higgins", "given" : "J P", "non-dropping-particle" : "", "parse-names" : false, "suffix" : "" }, { "dropping-particle" : "", "family" : "Mannion", "given" : "R J", "non-dropping-particle" : "", "parse-names" : false, "suffix" : "" }, { "dropping-particle" : "", "family" : "Rodgers", "given" : "M A", "non-dropping-particle" : "", "parse-names" : false, "suffix" : "" }, { "dropping-particle" : "", "family" : "Stewart", "given" : "L A", "non-dropping-particle" : "", "parse-names" : false, "suffix" : "" } ], "container-title" : "Annals of Internal Medicine", "id" : "ITEM-5", "issue" : "12", "issued" : { "date-parts" : [ [ "2013", "6" ] ] }, "note" : "LR: 20140220; GR: MC_U105285807/Medical Research Council/United Kingdom; JID: 0372351; 0 (Bone Morphogenetic Protein 2); 0 (Recombinant Proteins); 0 (Transforming Growth Factor beta); 0 (recombinant human bone morphogenetic protein-2); CIN: Ann Intern Med. 2013 Jun 18;158(12):916-8. PMID: 23778911; CIN: Ann Intern Med. 2013 Jun 18;158(12):910-1. PMID: 23778908; CIN: Ann Intern Med. 2013 Jun 18;158(12):912-3. PMID: 23778909; CIN: Ann Intern Med. 2013 Jun 18;158(12):914-5. PMID: 23778910; ppublish", "page" : "877-889", "title" : "Safety and effectiveness of recombinant human bone morphogenetic protein-2 for spinal fusion: a meta-analysis of individual-participant data", "type" : "article-journal", "volume" : "158" }, "uris" : [ "http://www.mendeley.com/documents/?uuid=2e89fdac-f19c-4e99-9095-c292f9b9825f" ] } ], "mendeley" : { "formattedCitation" : "&lt;sup&gt;11\u201315&lt;/sup&gt;", "plainTextFormattedCitation" : "11\u201315", "previouslyFormattedCitation" : "&lt;sup&gt;11\u201315&lt;/sup&gt;" }, "properties" : { "noteIndex" : 0 }, "schema" : "https://github.com/citation-style-language/schema/raw/master/csl-citation.json" }</w:instrText>
      </w:r>
      <w:r w:rsidR="00B826F1"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11–15</w:t>
      </w:r>
      <w:r w:rsidR="00B826F1" w:rsidRPr="00030AAD">
        <w:rPr>
          <w:rFonts w:ascii="Times New Roman" w:hAnsi="Times New Roman" w:cs="Times New Roman"/>
          <w:color w:val="000000"/>
          <w:sz w:val="24"/>
          <w:szCs w:val="24"/>
        </w:rPr>
        <w:fldChar w:fldCharType="end"/>
      </w:r>
    </w:p>
    <w:p w14:paraId="3C18E2CA" w14:textId="1D6D47EF" w:rsidR="00495FF2" w:rsidRPr="00030AAD" w:rsidRDefault="00495FF2" w:rsidP="001F5BE3">
      <w:pPr>
        <w:tabs>
          <w:tab w:val="left" w:pos="720"/>
          <w:tab w:val="left" w:pos="1440"/>
          <w:tab w:val="left" w:pos="2070"/>
        </w:tabs>
        <w:rPr>
          <w:rFonts w:ascii="Times New Roman" w:hAnsi="Times New Roman" w:cs="Times New Roman"/>
          <w:color w:val="000000"/>
          <w:sz w:val="24"/>
          <w:szCs w:val="24"/>
        </w:rPr>
      </w:pPr>
      <w:r w:rsidRPr="00030AAD">
        <w:rPr>
          <w:rFonts w:ascii="Times New Roman" w:hAnsi="Times New Roman" w:cs="Times New Roman"/>
          <w:color w:val="000000"/>
          <w:sz w:val="24"/>
          <w:szCs w:val="24"/>
        </w:rPr>
        <w:t>Despite these limitations, BMP-2 is widely used in spine surgery and its use has grown consistently over the past decade.</w:t>
      </w:r>
      <w:r w:rsidR="00030AAD" w:rsidRPr="00030AAD">
        <w:rPr>
          <w:rFonts w:ascii="Times New Roman" w:hAnsi="Times New Roman" w:cs="Times New Roman"/>
          <w:color w:val="000000"/>
          <w:sz w:val="24"/>
          <w:szCs w:val="24"/>
        </w:rPr>
        <w:fldChar w:fldCharType="begin" w:fldLock="1"/>
      </w:r>
      <w:r w:rsidR="00302F26">
        <w:rPr>
          <w:rFonts w:ascii="Times New Roman" w:hAnsi="Times New Roman" w:cs="Times New Roman"/>
          <w:color w:val="000000"/>
          <w:sz w:val="24"/>
          <w:szCs w:val="24"/>
        </w:rPr>
        <w:instrText>ADDIN CSL_CITATION { "citationItems" : [ { "id" : "ITEM-1", "itemData" : { "DOI" : "10.1016/j.spinee.2014.12.010 [doi]", "ISBN" : "1878-1632", "ISSN" : "15299430", "PMID" : "25523380", "abstract" : "BACKGROUND CONTEXT: Use of bone morphogenetic protein (BMP) as an adjunct to spinal fusion surgery proliferated after Food and Drug Administration (FDA) approval in 2002. Major safety concerns emerged in 2008. PURPOSE: The purpose of this study was to examine whether published concerns about the safety of BMP altered clinical practice. STUDY DESIGN/SETTING: The study design involved the analysis of the National Inpatient Sample from 2002 through 2012. PATIENT SAMPLE: Adults (older than 20 years) undergoing an elective fusion operation for common degenerative diagnoses were identified using codes from the International Classification of Diseases, ninth revision, Clinical Modification. OUTCOME MEASURES: Outcome measures were proportion of cervical and lumbar fusion operations, over time, that involved BMP. METHODS: We aggregated the data into a monthly time series and reported the proportion of cervical and lumbar fusion operations, over time, that involved BMP. Autoregressive Integrated Moving Average, a regression model for time series data, was used to test whether there was a statistically significant change in the overall rate of BMP use after an FDA Public Health Notification in 2008. RESULTS: Use of BMP in spinal fusion procedures increased rapidly until 2008, involving up to 45.2% of lumbar and 13.5% of cervical fusions. Bone morphogenetic protein use significantly decreased after the 2008 FDA Public Health Notification and revelations of financial payments to surgeons involved in the pivotal FDA-approved trials. For lumbar fusion, the average annual increase was 7.9 percentage points per year from 2002 to 2008, followed by an average annual decrease of 11.7 percentage points thereafter (p&lt;/=.001). Use of BMP in cervical fusion increased 2.0% per year until the FDA Public Health Notification, followed by a 2.8% per year decrease (p=.035). CONCLUSIONS: Use of BMP in spinal fusion surgery declined subsequent to published safety concerns and revelations of financial conflicts of interest for investigators involved in the pivotal clinical trials.", "author" : [ { "dropping-particle" : "", "family" : "Martin", "given" : "Brook I.", "non-dropping-particle" : "", "parse-names" : false, "suffix" : "" }, { "dropping-particle" : "", "family" : "Lurie", "given" : "Jon D.", "non-dropping-particle" : "", "parse-names" : false, "suffix" : "" }, { "dropping-particle" : "", "family" : "Tosteson", "given" : "Anna N.A.", "non-dropping-particle" : "", "parse-names" : false, "suffix" : "" }, { "dropping-particle" : "", "family" : "Deyo", "given" : "Richard A.", "non-dropping-particle" : "", "parse-names" : false, "suffix" : "" }, { "dropping-particle" : "", "family" : "Farrokhi", "given" : "Farrokh R.", "non-dropping-particle" : "", "parse-names" : false, "suffix" : "" }, { "dropping-particle" : "", "family" : "Mirza", "given" : "Sohail K.", "non-dropping-particle" : "", "parse-names" : false, "suffix" : "" } ], "container-title" : "The spine journal : official journal of the North American Spine Society", "id" : "ITEM-1", "issue" : "4", "issued" : { "date-parts" : [ [ "2015", "4", "1" ] ] }, "note" : "From Duplicate 1 (Use of bone morphogenetic protein among patients undergoing fusion for degenerative diagnoses in the United States, 2002 to 2012 - Martin, B I; Lurie, J D; Tosteson, A N; Deyo, R A; Farrokhi, F R; Mirza, S K)\n\nLR: 20160401; CI: Copyright (c) 2015; GR: P60 AR062799/AR/NIAMS NIH HHS/United States; JID: 101130732; 0 (Bone Morphogenetic Proteins); NIHMS652720; OID: NLM: NIHMS652720; OID: NLM: PMC4375057; OTO: NOTNLM; 2014/03/26 [received]; 2014/12/03 [revised]; 2014/12/05 [accepted]; 2014/12/15 [aheadofprint]; ppublish", "page" : "692-699", "title" : "Use of bone morphogenetic protein among patients undergoing fusion for degenerative diagnoses in the United States, 2002 to 2012", "type" : "article-journal", "volume" : "15" }, "uris" : [ "http://www.mendeley.com/documents/?uuid=95b3c3e8-74b6-45b7-9e9e-7de3bf874a05" ] } ], "mendeley" : { "formattedCitation" : "&lt;sup&gt;16&lt;/sup&gt;", "plainTextFormattedCitation" : "16", "previouslyFormattedCitation" : "&lt;sup&gt;16&lt;/sup&gt;" }, "properties" : { "noteIndex" : 0 }, "schema" : "https://github.com/citation-style-language/schema/raw/master/csl-citation.json" }</w:instrText>
      </w:r>
      <w:r w:rsidR="00030AAD"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16</w:t>
      </w:r>
      <w:r w:rsidR="00030AAD" w:rsidRPr="00030AAD">
        <w:rPr>
          <w:rFonts w:ascii="Times New Roman" w:hAnsi="Times New Roman" w:cs="Times New Roman"/>
          <w:color w:val="000000"/>
          <w:sz w:val="24"/>
          <w:szCs w:val="24"/>
        </w:rPr>
        <w:fldChar w:fldCharType="end"/>
      </w:r>
      <w:r w:rsidR="00030AAD" w:rsidRPr="00030AAD">
        <w:rPr>
          <w:rFonts w:ascii="Times New Roman" w:hAnsi="Times New Roman" w:cs="Times New Roman"/>
          <w:color w:val="000000"/>
          <w:sz w:val="24"/>
          <w:szCs w:val="24"/>
        </w:rPr>
        <w:t xml:space="preserve"> </w:t>
      </w:r>
      <w:r w:rsidRPr="00030AAD">
        <w:rPr>
          <w:rFonts w:ascii="Times New Roman" w:hAnsi="Times New Roman" w:cs="Times New Roman"/>
          <w:color w:val="000000"/>
          <w:sz w:val="24"/>
          <w:szCs w:val="24"/>
        </w:rPr>
        <w:t xml:space="preserve">The widespread adoption of BMP-2 </w:t>
      </w:r>
      <w:r w:rsidR="00DE052F" w:rsidRPr="00030AAD">
        <w:rPr>
          <w:rFonts w:ascii="Times New Roman" w:hAnsi="Times New Roman" w:cs="Times New Roman"/>
          <w:color w:val="000000"/>
          <w:sz w:val="24"/>
          <w:szCs w:val="24"/>
        </w:rPr>
        <w:t xml:space="preserve">in the face of these limitations </w:t>
      </w:r>
      <w:r w:rsidRPr="00030AAD">
        <w:rPr>
          <w:rFonts w:ascii="Times New Roman" w:hAnsi="Times New Roman" w:cs="Times New Roman"/>
          <w:color w:val="000000"/>
          <w:sz w:val="24"/>
          <w:szCs w:val="24"/>
        </w:rPr>
        <w:t>highlights the demand for bone-anabolic</w:t>
      </w:r>
      <w:r w:rsidR="00DE052F" w:rsidRPr="00030AAD">
        <w:rPr>
          <w:rFonts w:ascii="Times New Roman" w:hAnsi="Times New Roman" w:cs="Times New Roman"/>
          <w:color w:val="000000"/>
          <w:sz w:val="24"/>
          <w:szCs w:val="24"/>
        </w:rPr>
        <w:t xml:space="preserve"> (</w:t>
      </w:r>
      <w:proofErr w:type="spellStart"/>
      <w:r w:rsidR="00DE052F" w:rsidRPr="00030AAD">
        <w:rPr>
          <w:rFonts w:ascii="Times New Roman" w:hAnsi="Times New Roman" w:cs="Times New Roman"/>
          <w:color w:val="000000"/>
          <w:sz w:val="24"/>
          <w:szCs w:val="24"/>
        </w:rPr>
        <w:t>osteoinductive</w:t>
      </w:r>
      <w:proofErr w:type="spellEnd"/>
      <w:r w:rsidR="00DE052F" w:rsidRPr="00030AAD">
        <w:rPr>
          <w:rFonts w:ascii="Times New Roman" w:hAnsi="Times New Roman" w:cs="Times New Roman"/>
          <w:color w:val="000000"/>
          <w:sz w:val="24"/>
          <w:szCs w:val="24"/>
        </w:rPr>
        <w:t>)</w:t>
      </w:r>
      <w:r w:rsidRPr="00030AAD">
        <w:rPr>
          <w:rFonts w:ascii="Times New Roman" w:hAnsi="Times New Roman" w:cs="Times New Roman"/>
          <w:color w:val="000000"/>
          <w:sz w:val="24"/>
          <w:szCs w:val="24"/>
        </w:rPr>
        <w:t xml:space="preserve"> molecules in s</w:t>
      </w:r>
      <w:r w:rsidR="00DE052F" w:rsidRPr="00030AAD">
        <w:rPr>
          <w:rFonts w:ascii="Times New Roman" w:hAnsi="Times New Roman" w:cs="Times New Roman"/>
          <w:color w:val="000000"/>
          <w:sz w:val="24"/>
          <w:szCs w:val="24"/>
        </w:rPr>
        <w:t xml:space="preserve">pine surgery. </w:t>
      </w:r>
      <w:r w:rsidRPr="00030AAD">
        <w:rPr>
          <w:rFonts w:ascii="Times New Roman" w:hAnsi="Times New Roman" w:cs="Times New Roman"/>
          <w:color w:val="000000"/>
          <w:sz w:val="24"/>
          <w:szCs w:val="24"/>
        </w:rPr>
        <w:t>There is a clearly a need for a safe, cost-effective, anabolic molecule that can assist with spinal fusion but avoid the side-effects associated with the use of BMP-2</w:t>
      </w:r>
      <w:r w:rsidR="00DE052F" w:rsidRPr="00030AAD">
        <w:rPr>
          <w:rFonts w:ascii="Times New Roman" w:hAnsi="Times New Roman" w:cs="Times New Roman"/>
          <w:color w:val="000000"/>
          <w:sz w:val="24"/>
          <w:szCs w:val="24"/>
        </w:rPr>
        <w:t>.</w:t>
      </w:r>
      <w:r w:rsidR="00DE052F" w:rsidRPr="00030AAD">
        <w:rPr>
          <w:rFonts w:ascii="Times New Roman" w:hAnsi="Times New Roman" w:cs="Times New Roman"/>
          <w:color w:val="000000"/>
          <w:sz w:val="24"/>
          <w:szCs w:val="24"/>
        </w:rPr>
        <w:fldChar w:fldCharType="begin" w:fldLock="1"/>
      </w:r>
      <w:r w:rsidR="00302F26">
        <w:rPr>
          <w:rFonts w:ascii="Times New Roman" w:hAnsi="Times New Roman" w:cs="Times New Roman"/>
          <w:color w:val="000000"/>
          <w:sz w:val="24"/>
          <w:szCs w:val="24"/>
        </w:rPr>
        <w:instrText>ADDIN CSL_CITATION { "citationItems" : [ { "id" : "ITEM-1", "itemData" : { "DOI" : "10.2106/JBJS.L.00275 [doi]", "ISBN" : "1535-1386", "PMID" : "23467869", "abstract" : "BACKGROUND: Use of recombinant human bone morphogenetic protein-2 (rhBMP-2) is expensive and may cause local side effects. A small synthetic molecule, SVAK-12, has recently been shown in vitro to potentiate rhBMP-2-induced transdifferentiation of myoblasts into the osteoblastic phenotype. The aims of this study were to test the ability of SVAK-12 to enhance bone formation in a rodent ectopic model and to test whether a single percutaneous injection of SVAK-12 can accelerate callus formation in a rodent femoral fracture model. METHODS: Collagen disks with rhBMP-2 alone or with rhBMP-2 and SVAK-12 were implanted in a standard athymic rat chest ectopic model, and radiographic analysis was performed at four weeks. In a second set of rats (Sprague-Dawley), SVAK-12 was percutaneously injected into the site of a closed femoral fracture. The fractures were analyzed radiographically and biomechanically (with torsional testing) five weeks after surgery. RESULTS: In the ectopic model, there was dose-dependent enhancement of rhBMP-2 activity with use of SVAK-12 at doses of 100 to 500 mug. In the fracture model, the SVAK-12-treated group had significantly higher radiographic healing scores than the untreated group (p = 0.028). Biomechanical testing revealed that the fractured femora in the 200 to 250-mug SVAK-12 group were 43% stronger (p = 0.008) and 93% stiffer (p = 0.014) than those in the control group. In summary, at five weeks the femoral fracture group injected with SVAK-12 showed significantly improved radiographic and biomechanical evidence of healing compared with the controls. CONCLUSIONS: A single local dose of a low-molecular-weight compound, SVAK-12, enhanced bone-healing in the presence of low-dose exogenous rhBMP-2 (in the ectopic model) and endogenous rhBMPs (in the femoral fracture model). CLINICAL RELEVANCE: This study demonstrates that rhBMP-2 responsiveness can be enhanced by a novel small molecule, SVAK-12. Local application of anabolic small molecules has the potential for potentiating and accelerating fracture-healing. Use of this small molecule to lower required doses of rhBMPs might both decrease their cost and improve their safety profile.", "author" : [ { "dropping-particle" : "", "family" : "Wong", "given" : "E", "non-dropping-particle" : "", "parse-names" : false, "suffix" : "" }, { "dropping-particle" : "", "family" : "Sangadala", "given" : "S", "non-dropping-particle" : "", "parse-names" : false, "suffix" : "" }, { "dropping-particle" : "", "family" : "Boden", "given" : "S D", "non-dropping-particle" : "", "parse-names" : false, "suffix" : "" }, { "dropping-particle" : "", "family" : "Yoshioka", "given" : "K", "non-dropping-particle" : "", "parse-names" : false, "suffix" : "" }, { "dropping-particle" : "", "family" : "Hutton", "given" : "W C", "non-dropping-particle" : "", "parse-names" : false, "suffix" : "" }, { "dropping-particle" : "", "family" : "Oliver", "given" : "C", "non-dropping-particle" : "", "parse-names" : false, "suffix" : "" }, { "dropping-particle" : "", "family" : "Titus", "given" : "L", "non-dropping-particle" : "", "parse-names" : false, "suffix" : "" } ], "container-title" : "The Journal of bone and joint surgery.American volume", "id" : "ITEM-1", "issue" : "5", "issued" : { "date-parts" : [ [ "2013", "3" ] ] }, "note" : "LR: 20140306; JID: 0014030; 0 (2-vinyl-4,6-diamino-1,3,5-triazine); 0 (Bone Morphogenetic Protein 2); 0 (Enzyme Inhibitors); 0 (Recombinant Proteins); 0 (Transforming Growth Factor beta); 0 (Triazines); 0 (Vinyl Compounds); 0 (recombinant human bone morphogenetic protein-2); EC 6.3.2.19 (Ubiquitin-Protein Ligases); OID: NLM: PMC3748970; ppublish", "page" : "454-461", "title" : "A novel low-molecular-weight compound enhances ectopic bone formation and fracture repair", "type" : "article-journal", "volume" : "95" }, "uris" : [ "http://www.mendeley.com/documents/?uuid=87ea1820-cad5-4767-8cca-d13d9d824a29" ] } ], "mendeley" : { "formattedCitation" : "&lt;sup&gt;17&lt;/sup&gt;", "plainTextFormattedCitation" : "17", "previouslyFormattedCitation" : "&lt;sup&gt;17&lt;/sup&gt;" }, "properties" : { "noteIndex" : 0 }, "schema" : "https://github.com/citation-style-language/schema/raw/master/csl-citation.json" }</w:instrText>
      </w:r>
      <w:r w:rsidR="00DE052F"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17</w:t>
      </w:r>
      <w:r w:rsidR="00DE052F" w:rsidRPr="00030AAD">
        <w:rPr>
          <w:rFonts w:ascii="Times New Roman" w:hAnsi="Times New Roman" w:cs="Times New Roman"/>
          <w:color w:val="000000"/>
          <w:sz w:val="24"/>
          <w:szCs w:val="24"/>
        </w:rPr>
        <w:fldChar w:fldCharType="end"/>
      </w:r>
    </w:p>
    <w:p w14:paraId="54A85246" w14:textId="07370043" w:rsidR="00DC1C86" w:rsidRPr="00030AAD" w:rsidRDefault="001F5BE3" w:rsidP="001F5BE3">
      <w:pPr>
        <w:tabs>
          <w:tab w:val="left" w:pos="720"/>
          <w:tab w:val="left" w:pos="1440"/>
          <w:tab w:val="left" w:pos="2070"/>
        </w:tabs>
        <w:rPr>
          <w:rFonts w:ascii="Times New Roman" w:hAnsi="Times New Roman" w:cs="Times New Roman"/>
          <w:color w:val="000000"/>
          <w:sz w:val="24"/>
          <w:szCs w:val="24"/>
        </w:rPr>
      </w:pPr>
      <w:r w:rsidRPr="00030AAD">
        <w:rPr>
          <w:rFonts w:ascii="Times New Roman" w:hAnsi="Times New Roman" w:cs="Times New Roman"/>
          <w:color w:val="000000"/>
          <w:sz w:val="24"/>
          <w:szCs w:val="24"/>
        </w:rPr>
        <w:t>Several years ago, investigators showed that statins (HMG CoA-reductase inhibitors) could stimulate osteoblast formation and have a bone-anabolic effect</w:t>
      </w:r>
      <w:r w:rsidR="00DC1C86" w:rsidRPr="00030AAD">
        <w:rPr>
          <w:rFonts w:ascii="Times New Roman" w:hAnsi="Times New Roman" w:cs="Times New Roman"/>
          <w:color w:val="000000"/>
          <w:sz w:val="24"/>
          <w:szCs w:val="24"/>
        </w:rPr>
        <w:t>.</w:t>
      </w:r>
      <w:r w:rsidR="00DC1C86" w:rsidRPr="00030AAD">
        <w:rPr>
          <w:rFonts w:ascii="Times New Roman" w:hAnsi="Times New Roman" w:cs="Times New Roman"/>
          <w:color w:val="000000"/>
          <w:sz w:val="24"/>
          <w:szCs w:val="24"/>
        </w:rPr>
        <w:fldChar w:fldCharType="begin" w:fldLock="1"/>
      </w:r>
      <w:r w:rsidR="00302F26">
        <w:rPr>
          <w:rFonts w:ascii="Times New Roman" w:hAnsi="Times New Roman" w:cs="Times New Roman"/>
          <w:color w:val="000000"/>
          <w:sz w:val="24"/>
          <w:szCs w:val="24"/>
        </w:rPr>
        <w:instrText>ADDIN CSL_CITATION { "citationItems" : [ { "id" : "ITEM-1", "itemData" : { "DOI" : "8029 [pii]", "ISBN" : "0036-8075", "PMID" : "10583956", "abstract" : "Osteoporosis and other diseases of bone loss are a major public health problem. Here it is shown that the statins, drugs widely used for lowering serum cholesterol, also enhance new bone formation in vitro and in rodents. This effect was associated with increased expression of the bone morphogenetic protein-2 (BMP-2) gene in bone cells. Lovastatin and simvastatin increased bone formation when injected subcutaneously over the calvaria of mice and increased cancellous bone volume when orally administered to rats. Thus, in appropriate doses, statins may have therapeutic applications for the treatment of osteoporosis.", "author" : [ { "dropping-particle" : "", "family" : "Mundy", "given" : "G", "non-dropping-particle" : "", "parse-names" : false, "suffix" : "" }, { "dropping-particle" : "", "family" : "Garrett", "given" : "R", "non-dropping-particle" : "", "parse-names" : false, "suffix" : "" }, { "dropping-particle" : "", "family" : "Harris", "given" : "S", "non-dropping-particle" : "", "parse-names" : false, "suffix" : "" }, { "dropping-particle" : "", "family" : "Chan", "given" : "J", "non-dropping-particle" : "", "parse-names" : false, "suffix" : "" }, { "dropping-particle" : "", "family" : "Chen", "given" : "D", "non-dropping-particle" : "", "parse-names" : false, "suffix" : "" }, { "dropping-particle" : "", "family" : "Rossini", "given" : "G", "non-dropping-particle" : "", "parse-names" : false, "suffix" : "" }, { "dropping-particle" : "", "family" : "Boyce", "given" : "B", "non-dropping-particle" : "", "parse-names" : false, "suffix" : "" }, { "dropping-particle" : "", "family" : "Zhao", "given" : "M", "non-dropping-particle" : "", "parse-names" : false, "suffix" : "" }, { "dropping-particle" : "", "family" : "Gutierrez", "given" : "G", "non-dropping-particle" : "", "parse-names" : false, "suffix" : "" } ], "container-title" : "Science (New York, N.Y.)", "id" : "ITEM-1", "issue" : "5446", "issued" : { "date-parts" : [ [ "1999", "12" ] ] }, "note" : "LR: 20131121; JID: 0404511; 0 (BMP2 protein, human); 0 (Bmp2 protein, mouse); 0 (Bmp2 protein, rat); 0 (Bone Morphogenetic Protein 2); 0 (Bone Morphogenetic Proteins); 0 (Hydroxymethylglutaryl-CoA Reductase Inhibitors); 0 (Recombinant Proteins); 0 (Transforming Growth Factor beta); 0 (recombinant human bone morphogenetic protein-2); 103107-01-3 (Fibroblast Growth Factor 2); 104781-85-3 (Fibroblast Growth Factor 1); 9LHU78OQFD (Lovastatin); AGG2FN16EV (Simvastatin); CIN: Science. 1999 Dec 3;286(5446):1825-6. PMID: 10610568; ppublish", "page" : "1946-1949", "title" : "Stimulation of bone formation in vitro and in rodents by statins", "type" : "article-journal", "volume" : "286" }, "uris" : [ "http://www.mendeley.com/documents/?uuid=a3ea7fc0-8226-4b44-9927-5128b6f5f10c" ] } ], "mendeley" : { "formattedCitation" : "&lt;sup&gt;18&lt;/sup&gt;", "plainTextFormattedCitation" : "18", "previouslyFormattedCitation" : "&lt;sup&gt;18&lt;/sup&gt;" }, "properties" : { "noteIndex" : 0 }, "schema" : "https://github.com/citation-style-language/schema/raw/master/csl-citation.json" }</w:instrText>
      </w:r>
      <w:r w:rsidR="00DC1C86"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18</w:t>
      </w:r>
      <w:r w:rsidR="00DC1C86" w:rsidRPr="00030AAD">
        <w:rPr>
          <w:rFonts w:ascii="Times New Roman" w:hAnsi="Times New Roman" w:cs="Times New Roman"/>
          <w:color w:val="000000"/>
          <w:sz w:val="24"/>
          <w:szCs w:val="24"/>
        </w:rPr>
        <w:fldChar w:fldCharType="end"/>
      </w:r>
      <w:r w:rsidR="009E54AE" w:rsidRPr="00030AAD">
        <w:rPr>
          <w:rFonts w:ascii="Times New Roman" w:hAnsi="Times New Roman" w:cs="Times New Roman"/>
          <w:color w:val="000000"/>
          <w:sz w:val="24"/>
          <w:szCs w:val="24"/>
        </w:rPr>
        <w:t xml:space="preserve"> </w:t>
      </w:r>
      <w:r w:rsidR="00DC1C86" w:rsidRPr="00030AAD">
        <w:rPr>
          <w:rFonts w:ascii="Times New Roman" w:hAnsi="Times New Roman" w:cs="Times New Roman"/>
          <w:color w:val="000000"/>
          <w:sz w:val="24"/>
          <w:szCs w:val="24"/>
        </w:rPr>
        <w:t xml:space="preserve">The anabolic effect of statins is believed to be mediated by </w:t>
      </w:r>
      <w:r w:rsidR="009E54AE" w:rsidRPr="00030AAD">
        <w:rPr>
          <w:rFonts w:ascii="Times New Roman" w:hAnsi="Times New Roman" w:cs="Times New Roman"/>
          <w:color w:val="000000"/>
          <w:sz w:val="24"/>
          <w:szCs w:val="24"/>
        </w:rPr>
        <w:t>the same pathways as</w:t>
      </w:r>
      <w:r w:rsidR="00DC1C86" w:rsidRPr="00030AAD">
        <w:rPr>
          <w:rFonts w:ascii="Times New Roman" w:hAnsi="Times New Roman" w:cs="Times New Roman"/>
          <w:color w:val="000000"/>
          <w:sz w:val="24"/>
          <w:szCs w:val="24"/>
        </w:rPr>
        <w:t xml:space="preserve"> BMP-2</w:t>
      </w:r>
      <w:r w:rsidR="009E54AE" w:rsidRPr="00030AAD">
        <w:rPr>
          <w:rFonts w:ascii="Times New Roman" w:hAnsi="Times New Roman" w:cs="Times New Roman"/>
          <w:color w:val="000000"/>
          <w:sz w:val="24"/>
          <w:szCs w:val="24"/>
        </w:rPr>
        <w:t>.</w:t>
      </w:r>
      <w:r w:rsidR="009E54AE" w:rsidRPr="00030AAD">
        <w:rPr>
          <w:rFonts w:ascii="Times New Roman" w:hAnsi="Times New Roman" w:cs="Times New Roman"/>
          <w:color w:val="000000"/>
          <w:sz w:val="24"/>
          <w:szCs w:val="24"/>
        </w:rPr>
        <w:fldChar w:fldCharType="begin" w:fldLock="1"/>
      </w:r>
      <w:r w:rsidR="00302F26">
        <w:rPr>
          <w:rFonts w:ascii="Times New Roman" w:hAnsi="Times New Roman" w:cs="Times New Roman"/>
          <w:color w:val="000000"/>
          <w:sz w:val="24"/>
          <w:szCs w:val="24"/>
        </w:rPr>
        <w:instrText>ADDIN CSL_CITATION { "citationItems" : [ { "id" : "ITEM-1", "itemData" : { "DOI" : "8029 [pii]", "ISBN" : "0036-8075", "PMID" : "10583956", "abstract" : "Osteoporosis and other diseases of bone loss are a major public health problem. Here it is shown that the statins, drugs widely used for lowering serum cholesterol, also enhance new bone formation in vitro and in rodents. This effect was associated with increased expression of the bone morphogenetic protein-2 (BMP-2) gene in bone cells. Lovastatin and simvastatin increased bone formation when injected subcutaneously over the calvaria of mice and increased cancellous bone volume when orally administered to rats. Thus, in appropriate doses, statins may have therapeutic applications for the treatment of osteoporosis.", "author" : [ { "dropping-particle" : "", "family" : "Mundy", "given" : "G", "non-dropping-particle" : "", "parse-names" : false, "suffix" : "" }, { "dropping-particle" : "", "family" : "Garrett", "given" : "R", "non-dropping-particle" : "", "parse-names" : false, "suffix" : "" }, { "dropping-particle" : "", "family" : "Harris", "given" : "S", "non-dropping-particle" : "", "parse-names" : false, "suffix" : "" }, { "dropping-particle" : "", "family" : "Chan", "given" : "J", "non-dropping-particle" : "", "parse-names" : false, "suffix" : "" }, { "dropping-particle" : "", "family" : "Chen", "given" : "D", "non-dropping-particle" : "", "parse-names" : false, "suffix" : "" }, { "dropping-particle" : "", "family" : "Rossini", "given" : "G", "non-dropping-particle" : "", "parse-names" : false, "suffix" : "" }, { "dropping-particle" : "", "family" : "Boyce", "given" : "B", "non-dropping-particle" : "", "parse-names" : false, "suffix" : "" }, { "dropping-particle" : "", "family" : "Zhao", "given" : "M", "non-dropping-particle" : "", "parse-names" : false, "suffix" : "" }, { "dropping-particle" : "", "family" : "Gutierrez", "given" : "G", "non-dropping-particle" : "", "parse-names" : false, "suffix" : "" } ], "container-title" : "Science (New York, N.Y.)", "id" : "ITEM-1", "issue" : "5446", "issued" : { "date-parts" : [ [ "1999", "12" ] ] }, "note" : "LR: 20131121; JID: 0404511; 0 (BMP2 protein, human); 0 (Bmp2 protein, mouse); 0 (Bmp2 protein, rat); 0 (Bone Morphogenetic Protein 2); 0 (Bone Morphogenetic Proteins); 0 (Hydroxymethylglutaryl-CoA Reductase Inhibitors); 0 (Recombinant Proteins); 0 (Transforming Growth Factor beta); 0 (recombinant human bone morphogenetic protein-2); 103107-01-3 (Fibroblast Growth Factor 2); 104781-85-3 (Fibroblast Growth Factor 1); 9LHU78OQFD (Lovastatin); AGG2FN16EV (Simvastatin); CIN: Science. 1999 Dec 3;286(5446):1825-6. PMID: 10610568; ppublish", "page" : "1946-1949", "title" : "Stimulation of bone formation in vitro and in rodents by statins", "type" : "article-journal", "volume" : "286" }, "uris" : [ "http://www.mendeley.com/documents/?uuid=a3ea7fc0-8226-4b44-9927-5128b6f5f10c" ] }, { "id" : "ITEM-2", "itemData" : { "DOI" : "M606706200 [pii]", "ISBN" : "0021-9258", "PMID" : "17179158", "abstract" : "Lovastatin promotes osteoblast differentiation by increasing bone morphogenetic protein-2 (BMP-2) expression. We demonstrate that lovastatin stimulates tyrosine phosphorylation of the p85 regulatory subunit of phosphatidylinositol 3-kinase (PI3K), leading to an increase in its kinase activity in osteoblast cells. Inhibition of PI3K ameliorated expression of the osteogenic markers alkaline phosphatase, type I collagen, osteopontin, and BMP-2. Expression of dominant-negative PI3K and PTEN, an inhibitor of PI3K signaling, significantly attenuated lovastatin-induced transcription of BMP-2. Akt kinase was also activated in a PI3K-dependent manner. However, our data suggest involvement of an additional signaling pathway. Lovastatin-induced Erk1/2 activity contributed to BMP-2 transcription. Inhibition of PI3K abrogated Erk1/2 activity in response to lovastatin, indicating the presence of a signal relay between them. We provide, as a mechanism of this cross-talk, the first evidence that lovastatin stimulates rapid activation of Ras, which associates with and activates PI3K in the plasma membrane, which in turn regulates Akt and Erk1/2 to induce BMP-2 expression for osteoblast differentiation.", "author" : [ { "dropping-particle" : "", "family" : "Ghosh-Choudhury", "given" : "N", "non-dropping-particle" : "", "parse-names" : false, "suffix" : "" }, { "dropping-particle" : "", "family" : "Mandal", "given" : "C C", "non-dropping-particle" : "", "parse-names" : false, "suffix" : "" }, { "dropping-particle" : "", "family" : "Choudhury", "given" : "G G", "non-dropping-particle" : "", "parse-names" : false, "suffix" : "" } ], "container-title" : "The Journal of biological chemistry", "id" : "ITEM-2", "issue" : "7", "issued" : { "date-parts" : [ [ "2007", "2" ] ] }, "note" : "LR: 20131121; GR: R01 AR52425/AR/NIAMS NIH HHS/United States; JID: 2985121R; 0 (Anticholesteremic Agents); 0 (Antigens, Differentiation); 0 (Bmp2 protein, mouse); 0 (Bone Morphogenetic Protein 2); 0 (Bone Morphogenetic Proteins); 0 (Transforming Growth Factor beta); 9LHU78OQFD (Lovastatin); EC 2.7.1.- (Phosphatidylinositol 3-Kinases); EC 2.7.11.1 (Oncogene Protein v-akt); EC 2.7.11.24 (Mitogen-Activated Protein Kinase 1); EC 2.7.11.24 (Mitogen-Activated Protein Kinase 3); EC 3.1.3.48 (Pten protein, mouse); EC 3.1.3.67 (PTEN Phosphohydrolase); 2006/12/19 [aheadofprint]; ppublish", "page" : "4983-4993", "title" : "Statin-induced Ras activation integrates the phosphatidylinositol 3-kinase signal to Akt and MAPK for bone morphogenetic protein-2 expression in osteoblast differentiation", "type" : "article-journal", "volume" : "282" }, "uris" : [ "http://www.mendeley.com/documents/?uuid=2befeaaf-42f9-4058-91bb-586ae547327f" ] } ], "mendeley" : { "formattedCitation" : "&lt;sup&gt;18,19&lt;/sup&gt;", "plainTextFormattedCitation" : "18,19", "previouslyFormattedCitation" : "&lt;sup&gt;18,19&lt;/sup&gt;" }, "properties" : { "noteIndex" : 0 }, "schema" : "https://github.com/citation-style-language/schema/raw/master/csl-citation.json" }</w:instrText>
      </w:r>
      <w:r w:rsidR="009E54AE"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18,19</w:t>
      </w:r>
      <w:r w:rsidR="009E54AE" w:rsidRPr="00030AAD">
        <w:rPr>
          <w:rFonts w:ascii="Times New Roman" w:hAnsi="Times New Roman" w:cs="Times New Roman"/>
          <w:color w:val="000000"/>
          <w:sz w:val="24"/>
          <w:szCs w:val="24"/>
        </w:rPr>
        <w:fldChar w:fldCharType="end"/>
      </w:r>
      <w:r w:rsidR="009E54AE" w:rsidRPr="00030AAD">
        <w:rPr>
          <w:rFonts w:ascii="Times New Roman" w:hAnsi="Times New Roman" w:cs="Times New Roman"/>
          <w:color w:val="000000"/>
          <w:sz w:val="24"/>
          <w:szCs w:val="24"/>
        </w:rPr>
        <w:t xml:space="preserve">  Because BMP-2 associated complications are a dose-dependent phenomenon,</w:t>
      </w:r>
      <w:r w:rsidR="009E54AE" w:rsidRPr="00030AAD">
        <w:rPr>
          <w:rFonts w:ascii="Times New Roman" w:hAnsi="Times New Roman" w:cs="Times New Roman"/>
          <w:color w:val="000000"/>
          <w:sz w:val="24"/>
          <w:szCs w:val="24"/>
        </w:rPr>
        <w:fldChar w:fldCharType="begin" w:fldLock="1"/>
      </w:r>
      <w:r w:rsidR="00030AAD" w:rsidRPr="00030AAD">
        <w:rPr>
          <w:rFonts w:ascii="Times New Roman" w:hAnsi="Times New Roman" w:cs="Times New Roman"/>
          <w:color w:val="000000"/>
          <w:sz w:val="24"/>
          <w:szCs w:val="24"/>
        </w:rPr>
        <w:instrText>ADDIN CSL_CITATION { "citationItems" : [ { "id" : "ITEM-1", "itemData" : { "DOI" : "10.1016/j.spinee.2013.08.060 [doi]", "ISBN" : "1878-1632", "PMID" : "24412416", "abstract" : "BACKGROUND CONTEXT: Recombinant human bone morphogenetic protein 2 (rhBMP-2) is a very potent osteogenic growth factor that has been used successfully in various spine fusions, obviating the need for autologous iliac crest bone graft harvest and therefore avoiding the associated morbidities. PURPOSE: In the past few years, a tremendous increase in rhBMP-2 usage was noted, and concerns regarding costs, benefits, and safety issues were raised by many. The goal of this work was to provide a comprehensive review of the adverse events and complications associated with use of rhBMP-2. STUDY DESIGN: Literature review. METHODS: This is a review of the current literature on the reported adverse events, complications, and concerns associated with rhBMP-2 use. RESULTS: This article discusses the wide spectrum of adverse outcomes related to rhBMP-2 use in the lumbar and the cervical spine; retrograde ejaculation, antibodies formation, postoperative radiculitis, postoperative nerve root injury, ectopic bone formation, vertebral osteolysis/edema, dysphagia and neck swelling, hematoma formation, interbody graft lucency, and wound healing complications are reviewed. Cost-related concerns, dosage considerations, carrier types, and theoretical carcinogenesis concerns were also presented. CONCLUSIONS: Despite the excellent spinal fusion rates promoted by this powerful molecule, the increasingly reported adverse outcomes associated with bone morphogenetic protein usage have created real concerns. This article will provide the reader with a good understanding of the reported complications associated with rhBMP-2 use and ultimately help recognize its safety spectrum and limits for better clinical application.", "author" : [ { "dropping-particle" : "", "family" : "Tannoury", "given" : "C A", "non-dropping-particle" : "", "parse-names" : false, "suffix" : "" }, { "dropping-particle" : "", "family" : "An", "given" : "H S", "non-dropping-particle" : "", "parse-names" : false, "suffix" : "" } ], "container-title" : "The spine journal : official journal of the North American Spine Society", "id" : "ITEM-1", "issue" : "3", "issued" : { "date-parts" : [ [ "2014", "3" ] ] }, "note" : "From Duplicate 1 (Complications with the use of bone morphogenetic protein 2 (BMP-2) in spine surgery - Tannoury, C A; An, H S)\n\nCI: Copyright (c) 2014; JID: 101130732; OTO: NOTNLM; 2012/08/14 [received]; 2013/07/16 [revised]; 2013/08/23 [accepted]; 2014/01/08 [aheadofprint]; ppublish\n\nFrom Duplicate 2 (Complications with the use of bone morphogenetic protein 2 (BMP-2) in spine surgery - Tannoury, C A; An, H S)\n\nCI: Copyright (c) 2014; JID: 101130732; 0 (Bone Morphogenetic Protein 2); 0 (Recombinant Proteins); 0 (Transforming Growth Factor beta); 0 (recombinant human bone morphogenetic protein-2); OTO: NOTNLM; 2012/08/14 [received]; 2013/07/16 [revised]; 2013/08/23 [accepted]; 2014/01/08 [aheadofprint]; ppublish", "page" : "552-559", "title" : "Complications with the use of bone morphogenetic protein 2 (BMP-2) in spine surgery", "type" : "article-journal", "volume" : "14" }, "uris" : [ "http://www.mendeley.com/documents/?uuid=34614303-a484-4d10-b2ae-f103af5f743e" ] }, { "id" : "ITEM-2", "itemData" : { "DOI" : "10.1016/j.spinee.2011.02.013 [doi]", "ISBN" : "1878-1632", "PMID" : "21612985", "abstract" : "BACKGROUND CONTEXT: The commercially available growth factor recombinant bone morphogenic protein-2 (rhBMP-2) used in spinal fusion has been associated with numerous adverse reactions, including inflammatory reactions in soft tissue, heterotopic bone formation, radiculitis, osteolysis, and cage or graft subsidence. The original Food and Drug Administration Summary of anterior lumbar interbody fusion (ALIF) reported 12 retrograde ejaculation (RE) events (8%) in the rhBMP-2 groups compared with (1.4%) in the control group. It had been debated whether this finding was related to rhBMP-2 use. PURPOSE: To compare the incidence of RE after ALIF in patients with and without rhBMP-2 use. STUDY DESIGN: Retrospective analysis of prospectively gathered outcomes data on consecutive subjects having ALIF with and without rhBMP-2 use. PATIENT SAMPLE: Male patients with lumbar spondylosis or spondylolisthesis having ALIF of the lowest one or two lumbar levels with and without rhBMP-2. OUTCOME MEASURE: Report of RE as a new finding after ALIF. METHODS: From the comprehensive outcome database at a high-volume university practice, male subjects having ALIF for one- (L5/S1) or two-level (L4/L5, L5/S1) lumbar fusion were identified. Retrograde ejaculation events were recorded and comparative incidence compared. RESULTS: The two groups were comparable for age and additional procedures performed. There were 69 L5/S1 ALIFs performed with rhBMP-2 and 174 ALIFs performed without rhBMP-2 during the study period. Of those, 24 and 64 were two-level ALIFs performed with and without rhBMP-2, respectively. There were five RE events (7.2%) reported in the rhBMP-2 group and 1 (0.6%) in the control group. Comparing single-level L5/S1 ALIF, there was a 6.7% and 0% rate of RE in the rhBMP-2 versus control groups, respectively. At 1 year after surgery, three of six affected subjects reported resolution of the RE. CONCLUSION: This study confirms previous reports of a higher rate of RE in ALIF procedures using rhBMP-2. This may be an important consideration in subjects concerned with sterility after surgery.", "author" : [ { "dropping-particle" : "", "family" : "Carragee", "given" : "E J", "non-dropping-particle" : "", "parse-names" : false, "suffix" : "" }, { "dropping-particle" : "", "family" : "Mitsunaga", "given" : "K A", "non-dropping-particle" : "", "parse-names" : false, "suffix" : "" }, { "dropping-particle" : "", "family" : "Hurwitz", "given" : "E L", "non-dropping-particle" : "", "parse-names" : false, "suffix" : "" }, { "dropping-particle" : "", "family" : "Scuderi", "given" : "G J", "non-dropping-particle" : "", "parse-names" : false, "suffix" : "" } ], "container-title" : "The spine journal : official journal of the North American Spine Society", "id" : "ITEM-2", "issue" : "6", "issued" : { "date-parts" : [ [ "2011", "6" ] ] }, "note" : "CI: Copyright (c) 2011; JID: 101130732; 0 (Bone Morphogenetic Protein 2); 0 (Recombinant Proteins); 0 (Transforming Growth Factor beta); 0 (recombinant human bone morphogenetic protein-2); CIN: Spine J. 2011 Jul;11(7):686; author reply 687-90. PMID: 21767996; CIN: Spine J. 2011 Aug;11(8):703-4. PMID: 21925414; CIN: Spine J. 2011 Jun;11(6):517-9. PMID: 21612984; CIN: Spine J. 2011 Jun;11(6):520-1. PMID: 21612986; CIN: Spine J. 2011 Aug;11(8):800-1; author reply 801. PMID: 21778121; 2011/02/14 [received]; 2011/03/16 [revised]; 2011/04/30 [accepted]; 2011/05/25 [aheadofprint]; ppublish", "page" : "511-516", "title" : "Retrograde ejaculation after anterior lumbar interbody fusion using rhBMP-2: a cohort controlled study", "type" : "article-journal", "volume" : "11" }, "uris" : [ "http://www.mendeley.com/documents/?uuid=2587ff6b-6c80-4c4f-b7a9-c25e1614c831" ] } ], "mendeley" : { "formattedCitation" : "&lt;sup&gt;11,12&lt;/sup&gt;", "plainTextFormattedCitation" : "11,12", "previouslyFormattedCitation" : "&lt;sup&gt;11,12&lt;/sup&gt;" }, "properties" : { "noteIndex" : 0 }, "schema" : "https://github.com/citation-style-language/schema/raw/master/csl-citation.json" }</w:instrText>
      </w:r>
      <w:r w:rsidR="009E54AE"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11,12</w:t>
      </w:r>
      <w:r w:rsidR="009E54AE" w:rsidRPr="00030AAD">
        <w:rPr>
          <w:rFonts w:ascii="Times New Roman" w:hAnsi="Times New Roman" w:cs="Times New Roman"/>
          <w:color w:val="000000"/>
          <w:sz w:val="24"/>
          <w:szCs w:val="24"/>
        </w:rPr>
        <w:fldChar w:fldCharType="end"/>
      </w:r>
      <w:r w:rsidR="009E54AE" w:rsidRPr="00030AAD">
        <w:rPr>
          <w:rFonts w:ascii="Times New Roman" w:hAnsi="Times New Roman" w:cs="Times New Roman"/>
          <w:color w:val="000000"/>
          <w:sz w:val="24"/>
          <w:szCs w:val="24"/>
        </w:rPr>
        <w:t xml:space="preserve"> a more moderate upregulation of this pathway via </w:t>
      </w:r>
      <w:r w:rsidR="00DC1C86" w:rsidRPr="00030AAD">
        <w:rPr>
          <w:rFonts w:ascii="Times New Roman" w:hAnsi="Times New Roman" w:cs="Times New Roman"/>
          <w:color w:val="000000"/>
          <w:sz w:val="24"/>
          <w:szCs w:val="24"/>
        </w:rPr>
        <w:t>statin administration</w:t>
      </w:r>
      <w:r w:rsidR="009E54AE" w:rsidRPr="00030AAD">
        <w:rPr>
          <w:rFonts w:ascii="Times New Roman" w:hAnsi="Times New Roman" w:cs="Times New Roman"/>
          <w:color w:val="000000"/>
          <w:sz w:val="24"/>
          <w:szCs w:val="24"/>
        </w:rPr>
        <w:t xml:space="preserve"> may represent</w:t>
      </w:r>
      <w:r w:rsidR="00DC1C86" w:rsidRPr="00030AAD">
        <w:rPr>
          <w:rFonts w:ascii="Times New Roman" w:hAnsi="Times New Roman" w:cs="Times New Roman"/>
          <w:color w:val="000000"/>
          <w:sz w:val="24"/>
          <w:szCs w:val="24"/>
        </w:rPr>
        <w:t xml:space="preserve"> </w:t>
      </w:r>
      <w:r w:rsidR="009E54AE" w:rsidRPr="00030AAD">
        <w:rPr>
          <w:rFonts w:ascii="Times New Roman" w:hAnsi="Times New Roman" w:cs="Times New Roman"/>
          <w:color w:val="000000"/>
          <w:sz w:val="24"/>
          <w:szCs w:val="24"/>
        </w:rPr>
        <w:t xml:space="preserve">an ideal therapeutic approach. </w:t>
      </w:r>
      <w:r w:rsidR="00DC1C86" w:rsidRPr="00030AAD">
        <w:rPr>
          <w:rFonts w:ascii="Times New Roman" w:hAnsi="Times New Roman" w:cs="Times New Roman"/>
          <w:color w:val="000000"/>
          <w:sz w:val="24"/>
          <w:szCs w:val="24"/>
        </w:rPr>
        <w:t xml:space="preserve">In addition to their action through BMP-2, statins may also prevent osteoblast apoptosis by </w:t>
      </w:r>
      <w:r w:rsidR="009E54AE" w:rsidRPr="00030AAD">
        <w:rPr>
          <w:rFonts w:ascii="Times New Roman" w:hAnsi="Times New Roman" w:cs="Times New Roman"/>
          <w:color w:val="000000"/>
          <w:sz w:val="24"/>
          <w:szCs w:val="24"/>
        </w:rPr>
        <w:t xml:space="preserve">activation of </w:t>
      </w:r>
      <w:r w:rsidR="00DC1C86" w:rsidRPr="00030AAD">
        <w:rPr>
          <w:rFonts w:ascii="Times New Roman" w:hAnsi="Times New Roman" w:cs="Times New Roman"/>
          <w:color w:val="000000"/>
          <w:sz w:val="24"/>
          <w:szCs w:val="24"/>
        </w:rPr>
        <w:t xml:space="preserve">the </w:t>
      </w:r>
      <w:proofErr w:type="spellStart"/>
      <w:r w:rsidR="00DC1C86" w:rsidRPr="00030AAD">
        <w:rPr>
          <w:rFonts w:ascii="Times New Roman" w:hAnsi="Times New Roman" w:cs="Times New Roman"/>
          <w:color w:val="000000"/>
          <w:sz w:val="24"/>
          <w:szCs w:val="24"/>
        </w:rPr>
        <w:t>TGFbeta</w:t>
      </w:r>
      <w:proofErr w:type="spellEnd"/>
      <w:r w:rsidR="00DC1C86" w:rsidRPr="00030AAD">
        <w:rPr>
          <w:rFonts w:ascii="Times New Roman" w:hAnsi="Times New Roman" w:cs="Times New Roman"/>
          <w:color w:val="000000"/>
          <w:sz w:val="24"/>
          <w:szCs w:val="24"/>
        </w:rPr>
        <w:t>/Smad3 pathway</w:t>
      </w:r>
      <w:r w:rsidR="009E54AE" w:rsidRPr="00030AAD">
        <w:rPr>
          <w:rFonts w:ascii="Times New Roman" w:hAnsi="Times New Roman" w:cs="Times New Roman"/>
          <w:color w:val="000000"/>
          <w:sz w:val="24"/>
          <w:szCs w:val="24"/>
        </w:rPr>
        <w:t>.</w:t>
      </w:r>
      <w:r w:rsidR="009E54AE" w:rsidRPr="00030AAD">
        <w:rPr>
          <w:rFonts w:ascii="Times New Roman" w:hAnsi="Times New Roman" w:cs="Times New Roman"/>
          <w:color w:val="000000"/>
          <w:sz w:val="24"/>
          <w:szCs w:val="24"/>
        </w:rPr>
        <w:fldChar w:fldCharType="begin" w:fldLock="1"/>
      </w:r>
      <w:r w:rsidR="00302F26">
        <w:rPr>
          <w:rFonts w:ascii="Times New Roman" w:hAnsi="Times New Roman" w:cs="Times New Roman"/>
          <w:color w:val="000000"/>
          <w:sz w:val="24"/>
          <w:szCs w:val="24"/>
        </w:rPr>
        <w:instrText>ADDIN CSL_CITATION { "citationItems" : [ { "id" : "ITEM-1", "itemData" : { "DOI" : "10.1055/s-0028-1082051 [doi]", "ISBN" : "0018-5043", "PMID" : "18622892", "abstract" : "Statins possess pleiotropic effects in several tissues. Among them, their bone anabolic actions have been recently noted. We have proposed that Smad3, a TGF-beta-signaling molecule, is a promoter of bone formation. However, whether statins would affect TGF-beta-Smad3 pathway in osteoblasts is still unknown. The present study was performed to examine the effects of statin on Smad3 expression and cell apoptosis by employing mouse osteoblastic MC3T3-E1 and rat osteoblastic UMR-106 cells. Statins (pitavastatin, mevastatin, and simvastatin) as well as alendronate increased the levels of Smad3 in MC3T3-E1 cells. The effects of pitavastatin on Smad3 levels were observed from 3 hours and later. Pitavastatin induced the expression of TGF-beta, and cycloheximide, a protein synthesis inhibitor, antagonized the increased levels of pitavastatin on Smad3. On the other hand, pitavastatin antagonized dexamethasone- or etoposide-induced apoptosis in a dose-dependent manner, and Smad3 inactivation by dominant negative Smad3 or an inhibition of endogenous TGF-beta action by SB431542 antagonized anti-apoptotic effects of pitavastatin, indicating that pitavastatin suppressed osteoblast apoptosis partly through TGF-beta-Smad3 pathway. In conclusion, the present study has demonstrated for the first time that statin suppressed cell apoptosis partly through TGF-beta-Smad3 pathway in osteoblastic cells.", "author" : [ { "dropping-particle" : "", "family" : "Kaji", "given" : "H", "non-dropping-particle" : "", "parse-names" : false, "suffix" : "" }, { "dropping-particle" : "", "family" : "Naito", "given" : "J", "non-dropping-particle" : "", "parse-names" : false, "suffix" : "" }, { "dropping-particle" : "", "family" : "Inoue", "given" : "Y", "non-dropping-particle" : "", "parse-names" : false, "suffix" : "" }, { "dropping-particle" : "", "family" : "Sowa", "given" : "H", "non-dropping-particle" : "", "parse-names" : false, "suffix" : "" }, { "dropping-particle" : "", "family" : "Sugimoto", "given" : "T", "non-dropping-particle" : "", "parse-names" : false, "suffix" : "" }, { "dropping-particle" : "", "family" : "Chihara", "given" : "K", "non-dropping-particle" : "", "parse-names" : false, "suffix" : "" } ], "container-title" : "Hormone and metabolic research = Hormon- und Stoffwechselforschung = Hormones et metabolisme", "id" : "ITEM-1", "issue" : "11", "issued" : { "date-parts" : [ [ "2008", "11" ] ] }, "note" : "LR: 20131121; JID: 0177722; 0 (Hydroxymethylglutaryl-CoA Reductase Inhibitors); 0 (Quinolines); 0 (Smad3 Protein); 0 (Transforming Growth Factor beta); 1UQM1K0W9X (mevastatin); 9LHU78OQFD (Lovastatin); AGG2FN16EV (Simvastatin); M5681Q5F9P (pitavastatin); X1J18R4W8P (Alendronate); 2008/07/11 [epublish]; 2008/07/11 [aheadofprint]; ppublish", "page" : "746-751", "title" : "Statin suppresses apoptosis in osteoblastic cells: role of transforming growth factor-beta-Smad3 pathway", "type" : "article-journal", "volume" : "40" }, "uris" : [ "http://www.mendeley.com/documents/?uuid=941d3c13-acbb-48f4-819b-b417a90488ff" ] } ], "mendeley" : { "formattedCitation" : "&lt;sup&gt;20&lt;/sup&gt;", "plainTextFormattedCitation" : "20", "previouslyFormattedCitation" : "&lt;sup&gt;20&lt;/sup&gt;" }, "properties" : { "noteIndex" : 0 }, "schema" : "https://github.com/citation-style-language/schema/raw/master/csl-citation.json" }</w:instrText>
      </w:r>
      <w:r w:rsidR="009E54AE"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20</w:t>
      </w:r>
      <w:r w:rsidR="009E54AE" w:rsidRPr="00030AAD">
        <w:rPr>
          <w:rFonts w:ascii="Times New Roman" w:hAnsi="Times New Roman" w:cs="Times New Roman"/>
          <w:color w:val="000000"/>
          <w:sz w:val="24"/>
          <w:szCs w:val="24"/>
        </w:rPr>
        <w:fldChar w:fldCharType="end"/>
      </w:r>
    </w:p>
    <w:p w14:paraId="504BE79A" w14:textId="4EAE9BFE" w:rsidR="00B5008F" w:rsidRPr="00030AAD" w:rsidRDefault="009E54AE" w:rsidP="009E6B67">
      <w:pPr>
        <w:tabs>
          <w:tab w:val="left" w:pos="720"/>
          <w:tab w:val="left" w:pos="1440"/>
          <w:tab w:val="left" w:pos="2070"/>
        </w:tabs>
        <w:rPr>
          <w:rFonts w:ascii="Times New Roman" w:hAnsi="Times New Roman" w:cs="Times New Roman"/>
          <w:color w:val="000000"/>
          <w:sz w:val="24"/>
          <w:szCs w:val="24"/>
        </w:rPr>
      </w:pPr>
      <w:r w:rsidRPr="00030AAD">
        <w:rPr>
          <w:rFonts w:ascii="Times New Roman" w:hAnsi="Times New Roman" w:cs="Times New Roman"/>
          <w:color w:val="000000"/>
          <w:sz w:val="24"/>
          <w:szCs w:val="24"/>
        </w:rPr>
        <w:t xml:space="preserve">These </w:t>
      </w:r>
      <w:r w:rsidRPr="00030AAD">
        <w:rPr>
          <w:rFonts w:ascii="Times New Roman" w:hAnsi="Times New Roman" w:cs="Times New Roman"/>
          <w:i/>
          <w:color w:val="000000"/>
          <w:sz w:val="24"/>
          <w:szCs w:val="24"/>
        </w:rPr>
        <w:t xml:space="preserve">in vitro </w:t>
      </w:r>
      <w:r w:rsidRPr="00030AAD">
        <w:rPr>
          <w:rFonts w:ascii="Times New Roman" w:hAnsi="Times New Roman" w:cs="Times New Roman"/>
          <w:color w:val="000000"/>
          <w:sz w:val="24"/>
          <w:szCs w:val="24"/>
        </w:rPr>
        <w:t xml:space="preserve">data have been corroborated in </w:t>
      </w:r>
      <w:r w:rsidR="00B5008F" w:rsidRPr="00030AAD">
        <w:rPr>
          <w:rFonts w:ascii="Times New Roman" w:hAnsi="Times New Roman" w:cs="Times New Roman"/>
          <w:color w:val="000000"/>
          <w:sz w:val="24"/>
          <w:szCs w:val="24"/>
        </w:rPr>
        <w:t xml:space="preserve">number </w:t>
      </w:r>
      <w:r w:rsidRPr="00030AAD">
        <w:rPr>
          <w:rFonts w:ascii="Times New Roman" w:hAnsi="Times New Roman" w:cs="Times New Roman"/>
          <w:color w:val="000000"/>
          <w:sz w:val="24"/>
          <w:szCs w:val="24"/>
        </w:rPr>
        <w:t xml:space="preserve">animal models </w:t>
      </w:r>
      <w:r w:rsidR="001F5BE3" w:rsidRPr="00030AAD">
        <w:rPr>
          <w:rFonts w:ascii="Times New Roman" w:hAnsi="Times New Roman" w:cs="Times New Roman"/>
          <w:color w:val="000000"/>
          <w:sz w:val="24"/>
          <w:szCs w:val="24"/>
        </w:rPr>
        <w:t xml:space="preserve">for fracture healing </w:t>
      </w:r>
      <w:r w:rsidR="00B5008F" w:rsidRPr="00030AAD">
        <w:rPr>
          <w:rFonts w:ascii="Times New Roman" w:hAnsi="Times New Roman" w:cs="Times New Roman"/>
          <w:color w:val="000000"/>
          <w:sz w:val="24"/>
          <w:szCs w:val="24"/>
        </w:rPr>
        <w:t>and</w:t>
      </w:r>
      <w:r w:rsidR="001F5BE3" w:rsidRPr="00030AAD">
        <w:rPr>
          <w:rFonts w:ascii="Times New Roman" w:hAnsi="Times New Roman" w:cs="Times New Roman"/>
          <w:color w:val="000000"/>
          <w:sz w:val="24"/>
          <w:szCs w:val="24"/>
        </w:rPr>
        <w:t xml:space="preserve"> the reduction of periprosthetic bone loss</w:t>
      </w:r>
      <w:r w:rsidR="00B5008F" w:rsidRPr="00030AAD">
        <w:rPr>
          <w:rFonts w:ascii="Times New Roman" w:hAnsi="Times New Roman" w:cs="Times New Roman"/>
          <w:color w:val="000000"/>
          <w:sz w:val="24"/>
          <w:szCs w:val="24"/>
        </w:rPr>
        <w:t>.</w:t>
      </w:r>
      <w:r w:rsidR="00B5008F" w:rsidRPr="00030AAD">
        <w:rPr>
          <w:rFonts w:ascii="Times New Roman" w:hAnsi="Times New Roman" w:cs="Times New Roman"/>
          <w:color w:val="000000"/>
          <w:sz w:val="24"/>
          <w:szCs w:val="24"/>
        </w:rPr>
        <w:fldChar w:fldCharType="begin" w:fldLock="1"/>
      </w:r>
      <w:r w:rsidR="00302F26">
        <w:rPr>
          <w:rFonts w:ascii="Times New Roman" w:hAnsi="Times New Roman" w:cs="Times New Roman"/>
          <w:color w:val="000000"/>
          <w:sz w:val="24"/>
          <w:szCs w:val="24"/>
        </w:rPr>
        <w:instrText>ADDIN CSL_CITATION { "citationItems" : [ { "id" : "ITEM-1", "itemData" : { "DOI" : "10.1055/s-0028-1082051 [doi]", "ISBN" : "0018-5043", "PMID" : "18622892", "abstract" : "Statins possess pleiotropic effects in several tissues. Among them, their bone anabolic actions have been recently noted. We have proposed that Smad3, a TGF-beta-signaling molecule, is a promoter of bone formation. However, whether statins would affect TGF-beta-Smad3 pathway in osteoblasts is still unknown. The present study was performed to examine the effects of statin on Smad3 expression and cell apoptosis by employing mouse osteoblastic MC3T3-E1 and rat osteoblastic UMR-106 cells. Statins (pitavastatin, mevastatin, and simvastatin) as well as alendronate increased the levels of Smad3 in MC3T3-E1 cells. The effects of pitavastatin on Smad3 levels were observed from 3 hours and later. Pitavastatin induced the expression of TGF-beta, and cycloheximide, a protein synthesis inhibitor, antagonized the increased levels of pitavastatin on Smad3. On the other hand, pitavastatin antagonized dexamethasone- or etoposide-induced apoptosis in a dose-dependent manner, and Smad3 inactivation by dominant negative Smad3 or an inhibition of endogenous TGF-beta action by SB431542 antagonized anti-apoptotic effects of pitavastatin, indicating that pitavastatin suppressed osteoblast apoptosis partly through TGF-beta-Smad3 pathway. In conclusion, the present study has demonstrated for the first time that statin suppressed cell apoptosis partly through TGF-beta-Smad3 pathway in osteoblastic cells.", "author" : [ { "dropping-particle" : "", "family" : "Kaji", "given" : "H", "non-dropping-particle" : "", "parse-names" : false, "suffix" : "" }, { "dropping-particle" : "", "family" : "Naito", "given" : "J", "non-dropping-particle" : "", "parse-names" : false, "suffix" : "" }, { "dropping-particle" : "", "family" : "Inoue", "given" : "Y", "non-dropping-particle" : "", "parse-names" : false, "suffix" : "" }, { "dropping-particle" : "", "family" : "Sowa", "given" : "H", "non-dropping-particle" : "", "parse-names" : false, "suffix" : "" }, { "dropping-particle" : "", "family" : "Sugimoto", "given" : "T", "non-dropping-particle" : "", "parse-names" : false, "suffix" : "" }, { "dropping-particle" : "", "family" : "Chihara", "given" : "K", "non-dropping-particle" : "", "parse-names" : false, "suffix" : "" } ], "container-title" : "Hormone and metabolic research = Hormon- und Stoffwechselforschung = Hormones et metabolisme", "id" : "ITEM-1", "issue" : "11", "issued" : { "date-parts" : [ [ "2008", "11" ] ] }, "note" : "LR: 20131121; JID: 0177722; 0 (Hydroxymethylglutaryl-CoA Reductase Inhibitors); 0 (Quinolines); 0 (Smad3 Protein); 0 (Transforming Growth Factor beta); 1UQM1K0W9X (mevastatin); 9LHU78OQFD (Lovastatin); AGG2FN16EV (Simvastatin); M5681Q5F9P (pitavastatin); X1J18R4W8P (Alendronate); 2008/07/11 [epublish]; 2008/07/11 [aheadofprint]; ppublish", "page" : "746-751", "title" : "Statin suppresses apoptosis in osteoblastic cells: role of transforming growth factor-beta-Smad3 pathway", "type" : "article-journal", "volume" : "40" }, "uris" : [ "http://www.mendeley.com/documents/?uuid=941d3c13-acbb-48f4-819b-b417a90488ff" ] }, { "id" : "ITEM-2", "itemData" : { "ISBN" : "1109-3099", "PMID" : "22801558", "abstract" : "Osteoporosis is a major health problem affecting both men and women. Statins, besides their action as lipid-lowering agents, seem to have additional pleiotropic properties, among them a beneficial effect on bone mineral density. The entirety of experimental and the majority of clinical studies as well as the only relevant meta-analysis suggest that statins have an anabolic effect on bone metabolism. Statins, osteoporosis and adipogenesis share the same pathway, RANKL/OPG. It would appear that an imbalance in this pathway could be responsible for the manifestation of some metabolic disorders such as diabetes mellitus, atherogenesis, multiple myeloma, osteoporosis. Possibly in the future, drugs which can intervene in this biochemical and pathophysiological cascade, like statins, in a variety of doses, could be used for the management of ectopic ossification syndromes and other bone disorders, even as an additive treatment. Until then, further large longitudinal randomized controlled studies for each statin separately are required to confirm this hypothesis.", "author" : [ { "dropping-particle" : "", "family" : "Tsartsalis", "given" : "A N", "non-dropping-particle" : "", "parse-names" : false, "suffix" : "" }, { "dropping-particle" : "", "family" : "Dokos", "given" : "C", "non-dropping-particle" : "", "parse-names" : false, "suffix" : "" }, { "dropping-particle" : "", "family" : "Kaiafa", "given" : "G D", "non-dropping-particle" : "", "parse-names" : false, "suffix" : "" }, { "dropping-particle" : "", "family" : "Tsartsalis", "given" : "D N", "non-dropping-particle" : "", "parse-names" : false, "suffix" : "" }, { "dropping-particle" : "", "family" : "Kattamis", "given" : "A", "non-dropping-particle" : "", "parse-names" : false, "suffix" : "" }, { "dropping-particle" : "", "family" : "Hatzitolios", "given" : "A I", "non-dropping-particle" : "", "parse-names" : false, "suffix" : "" }, { "dropping-particle" : "", "family" : "Savopoulos", "given" : "C G", "non-dropping-particle" : "", "parse-names" : false, "suffix" : "" } ], "container-title" : "Hormones (Athens, Greece)", "id" : "ITEM-2", "issue" : "2", "issued" : { "date-parts" : [ [ "2012" ] ] }, "note" : "LR: 20131121; JID: 101142469; 0 (Hypolipidemic Agents); 0 (RANK Ligand); 0 (TNFSF11 protein, human); AGG2FN16EV (Simvastatin); ppublish", "page" : "126-139", "title" : "Statins, bone formation and osteoporosis: hope or hype?", "type" : "article-journal", "volume" : "11" }, "uris" : [ "http://www.mendeley.com/documents/?uuid=dd63e79e-6993-4786-8789-6348812aa31e" ] }, { "id" : "ITEM-3", "itemData" : { "DOI" : "10.1042/BSR20110118 [doi]", "ISBN" : "1573-4935", "PMID" : "22799752", "abstract" : "Osteoporosis is a common disease in the elderly population. The progress of this disease results in the reduction of bone mass and can increase the incidence of fractures. Drugs presently used clinically can block the aggravation of this disease. However, these drugs cannot increase the bone mass and may result in certain side effects. Statins, also known as HMG-CoA (3-hydroxy-3-methylglutaryl-CoA) reductase inhibitors, have been widely prescribed for CVD (cardiovascular disease) for decades. Nonetheless, several studies have demonstrated that statins exert bone anabolic effect and may be helpful for the treatment of osteoporosis. Several experiments have analysed the mechanisms of bone anabolism regulated by statins. In the present paper, we review the mechanisms of promoting osteogenesis, suppressing osteoblast apoptosis and inhibiting osteoclastogenesis.", "author" : [ { "dropping-particle" : "", "family" : "Ruan", "given" : "F", "non-dropping-particle" : "", "parse-names" : false, "suffix" : "" }, { "dropping-particle" : "", "family" : "Zheng", "given" : "Q", "non-dropping-particle" : "", "parse-names" : false, "suffix" : "" }, { "dropping-particle" : "", "family" : "Wang", "given" : "J", "non-dropping-particle" : "", "parse-names" : false, "suffix" : "" } ], "container-title" : "Bioscience reports", "id" : "ITEM-3", "issue" : "6", "issued" : { "date-parts" : [ [ "2012", "12" ] ] }, "note" : "LR: 20131115; JID: 8102797; 0 (Hydroxymethylglutaryl-CoA Reductase Inhibitors); OID: NLM: PMC3499024; ppublish", "page" : "511-519", "title" : "Mechanisms of bone anabolism regulated by statins", "type" : "article-journal", "volume" : "32" }, "uris" : [ "http://www.mendeley.com/documents/?uuid=7f9ab121-e217-4f4f-bcc8-75f758903ec4" ] }, { "id" : "ITEM-4", "itemData" : { "DOI" : "10.1016/j.bone.2009.05.010 [doi]", "ISBN" : "1873-2763", "PMID" : "19464400", "abstract" : "Many clinical and experimental investigations address the influence of statins on bone formation and fracture healing. Simvastatin was shown to increase the expression of Bone morphogenetic protein (BMP-2), which is one of the most potent growth factors targeting bone formation. In this study, the effect of simvastatin locally applied from a bioactive polymer coating of implants on fracture healing was investigated. A closed fracture of the right tibia of 5-month-old Sprague-Dawley rats was performed. Intramedullary stabilization was achieved with uncoated vs. polymer-only coated vs. polymer plus drug coated titanium Kirschner wires. Test substances (either simvastatin low- or high dosed or BMP-2) were incorporated into a biodegradable layer of poly(d,l-lactide). Tibiae were harvested after 28 or 42 days, respectively and underwent biomechanical testing (torsional stiffness and maximum load) and histomorphometric analysis. Radiographic results demonstrated progressed callus consolidation in the BMP-2- and simvastatin-treated groups compared to the uncoated group at both timepoints. The simvastatin-high-dosed group revealed an increased torsional stiffness and significantly elevated maximum load (d 28) compared to control group as well as a significant increase in both parameters at d 42. BMP-2-treated animals showed significantly elevated maximum load and stiffness at the early timepoint and elevated torsional stiffness after d 42. The histomorphometric analysis revealed a significantly decreased cartilage area for BMP-2 treated animals at d 28. Even though an increase of mineralized areas among periosteal callus was found at d 42 for simvastatin-high as well as BMP-2 treated animals, no significant difference could be detected at both timepoints compared to the uncoated group. However, simvastatin-high treated animals revealed significantly reduced cartilage areas within the periosteal callus at d 42. The present study revealed a dose-dependent effect and improved fracture healing under local application of simvastatin. Biomechanical, radiographic and histomorphometric properties showed comparable results to BMP-2- treated animals in this study.", "author" : [ { "dropping-particle" : "", "family" : "Pauly", "given" : "S", "non-dropping-particle" : "", "parse-names" : false, "suffix" : "" }, { "dropping-particle" : "", "family" : "Luttosch", "given" : "F", "non-dropping-particle" : "", "parse-names" : false, "suffix" : "" }, { "dropping-particle" : "", "family" : "Morawski", "given" : "M", "non-dropping-particle" : "", "parse-names" : false, "suffix" : "" }, { "dropping-particle" : "", "family" : "Haas", "given" : "N P", "non-dropping-particle" : "", "parse-names" : false, "suffix" : "" }, { "dropping-particle" : "", "family" : "Schmidmaier", "given" : "G", "non-dropping-particle" : "", "parse-names" : false, "suffix" : "" }, { "dropping-particle" : "", "family" : "Wildemann", "given" : "B", "non-dropping-particle" : "", "parse-names" : false, "suffix" : "" } ], "container-title" : "Bone", "id" : "ITEM-4", "issue" : "3", "issued" : { "date-parts" : [ [ "2009", "9" ] ] }, "note" : "LR: 20131121; JID: 8504048; 0 (Bone Morphogenetic Protein 2); 0 (Coated Materials, Biocompatible); 0 (Hydroxymethylglutaryl-CoA Reductase Inhibitors); 0 (Polyesters); 26969-66-4 (poly(lactide)); AGG2FN16EV (Simvastatin); 2009/03/27 [received]; 2009/05/14 [revised]; 2009/05/15 [accepted]; 2009/05/21 [aheadofprint]; ppublish", "page" : "505-511", "title" : "Simvastatin locally applied from a biodegradable coating of osteosynthetic implants improves fracture healing comparable to BMP-2 application", "type" : "article-journal", "volume" : "45" }, "uris" : [ "http://www.mendeley.com/documents/?uuid=5eee0a20-fe11-443b-a7fa-0bc10996b06d" ] }, { "id" : "ITEM-5", "itemData" : { "DOI" : "10.1002/jor.21421 [doi]", "ISBN" : "1554-527X", "PMID" : "21462251", "abstract" : "Lovastatin exhibits higher thermal stability and lower degradation rate than simvastatin. However, the amount of research studying a lovastatin delivery device has been far less than similar research on simvastatin. As a consequence, a high lovastatin release rate system has not been developed. We hypothesized that highly efficient release of lovastatin from poly(lactic-co-glycolic acid) (PLGA) nanoparticles in a short-term release (7 days) could provide an effective delivery system for bone repair. This study optimized the emulsion (o/w) technique in the fabrication process for PLGA nanoparticles, thereby producing the first recorded case of a high release rate (97%) of lovastatin. We also calculated the calibration curve of lovastatin using a UV spectrometer. The results demonstrated that the ALPase activity in human osteoblasts could be significantly stimulated by lovastatin carried in PLGA nanoparticles, but was prominently decreased by free lovastatin with the concentration higher than 4 microg/ml. Animal studies showed that the amount of lovastatin contained in 1 mg PLGA was the optimum dosage. These results suggest the new lovastatin-releasing PLGA delivery device exhibits potential for clinical treatment of bony defects.", "author" : [ { "dropping-particle" : "", "family" : "Ho", "given" : "M H", "non-dropping-particle" : "", "parse-names" : false, "suffix" : "" }, { "dropping-particle" : "", "family" : "Chiang", "given" : "C P", "non-dropping-particle" : "", "parse-names" : false, "suffix" : "" }, { "dropping-particle" : "", "family" : "Liu", "given" : "Y F", "non-dropping-particle" : "", "parse-names" : false, "suffix" : "" }, { "dropping-particle" : "", "family" : "Kuo", "given" : "M Y", "non-dropping-particle" : "", "parse-names" : false, "suffix" : "" }, { "dropping-particle" : "", "family" : "Lin", "given" : "S K", "non-dropping-particle" : "", "parse-names" : false, "suffix" : "" }, { "dropping-particle" : "", "family" : "Lai", "given" : "J Y", "non-dropping-particle" : "", "parse-names" : false, "suffix" : "" }, { "dropping-particle" : "", "family" : "Lee", "given" : "B S", "non-dropping-particle" : "", "parse-names" : false, "suffix" : "" } ], "container-title" : "Journal of orthopaedic research : official publication of the Orthopaedic Research Society", "id" : "ITEM-5", "issue" : "10", "issued" : { "date-parts" : [ [ "2011", "10" ] ] }, "note" : "LR: 20131121; CI: Copyright (c) 2011; JID: 8404726; 0 (Delayed-Action Preparations); 0 (Drug Carriers); 0 (Hydroxymethylglutaryl-CoA Reductase Inhibitors); 0 (polylactic acid-polyglycolic acid copolymer); 26009-03-0 (Polyglycolic Acid); 33X04XA5AT (Lactic Acid); 9LHU78OQFD (Lovastatin); EC 3.1.3.1 (Alkaline Phosphatase); 2010/11/14 [received]; 2011/03/03 [accepted]; 2011/04/01 [aheadofprint]; ppublish", "page" : "1504-1510", "title" : "Highly efficient release of lovastatin from poly(lactic-co-glycolic acid) nanoparticles enhances bone repair in rats", "type" : "article-journal", "volume" : "29" }, "uris" : [ "http://www.mendeley.com/documents/?uuid=864b85be-cb81-49a0-af4a-32f74259f66c" ] }, { "id" : "ITEM-6", "itemData" : { "DOI" : "10.1002/jbmr.1558 [doi]", "ISBN" : "1523-4681", "PMID" : "22275312", "abstract" : "Several reports have shown the therapeutic effect of statins on bone formation and neovascularization. However, the effect of the systemic administration of statins is limited due to its metabolism in the liver and clearance in the digestive system. In addition, high-dose administration may cause adverse side effects. To avoid low-efficacy/frequent side effects of high-dose statin treatment, we utilized biodegradable gelatin hydrogel as a drug delivery system of statin for fracture healing. A femoral fracture was created in rats with periosteum cauterization leading to nonunion at 8 weeks postfracture. Rats received local administration of either simvastatin-conjugated gelatin hydrogel (ST-Gel group) or gelatin hydrogel alone (Gel group). Approximately 70% of animals in the ST-Gel group achieved fracture union radiographically and histologically, while only 7% of animals achieved fracture healing in the Gel group. Functional bone healing was also significantly greater with increased angiogenesis- and osteogenesis-related growth factor expressions in periosteal granulation tissue in the ST-Gel group than in the Gel group. Simvastatin locally applied with gelatin hydrogel to fracture sites at a dose similar to that used in clinical settings successfully induced fracture union in a rat unhealing bone fracture model via its effect on both angiogenesis and osteogenesis.", "author" : [ { "dropping-particle" : "", "family" : "Fukui", "given" : "T", "non-dropping-particle" : "", "parse-names" : false, "suffix" : "" }, { "dropping-particle" : "", "family" : "Ii", "given" : "M", "non-dropping-particle" : "", "parse-names" : false, "suffix" : "" }, { "dropping-particle" : "", "family" : "Shoji", "given" : "T", "non-dropping-particle" : "", "parse-names" : false, "suffix" : "" }, { "dropping-particle" : "", "family" : "Matsumoto", "given" : "T", "non-dropping-particle" : "", "parse-names" : false, "suffix" : "" }, { "dropping-particle" : "", "family" : "Mifune", "given" : "Y", "non-dropping-particle" : "", "parse-names" : false, "suffix" : "" }, { "dropping-particle" : "", "family" : "Kawakami", "given" : "Y", "non-dropping-particle" : "", "parse-names" : false, "suffix" : "" }, { "dropping-particle" : "", "family" : "Akimaru", "given" : "H", "non-dropping-particle" : "", "parse-names" : false, "suffix" : "" }, { "dropping-particle" : "", "family" : "Kawamoto", "given" : "A", "non-dropping-particle" : "", "parse-names" : false, "suffix" : "" }, { "dropping-particle" : "", "family" : "Kuroda", "given" : "T", "non-dropping-particle" : "", "parse-names" : false, "suffix" : "" }, { "dropping-particle" : "", "family" : "Saito", "given" : "T", "non-dropping-particle" : "", "parse-names" : false, "suffix" : "" }, { "dropping-particle" : "", "family" : "Tabata", "given" : "Y", "non-dropping-particle" : "", "parse-names" : false, "suffix" : "" }, { "dropping-particle" : "", "family" : "Kuroda", "given" : "R", "non-dropping-particle" : "", "parse-names" : false, "suffix" : "" }, { "dropping-particle" : "", "family" : "Kurosaka", "given" : "M", "non-dropping-particle" : "", "parse-names" : false, "suffix" : "" }, { "dropping-particle" : "", "family" : "Asahara", "given" : "T", "non-dropping-particle" : "", "parse-names" : false, "suffix" : "" } ], "container-title" : "Journal of bone and mineral research : the official journal of the American Society for Bone and Mineral Research", "id" : "ITEM-6", "issue" : "5", "issued" : { "date-parts" : [ [ "2012", "5" ] ] }, "note" : "LR: 20131121; CI: Copyright (c) 2012; JID: 8610640; 0 (Adjuvants, Pharmaceutic); 0 (Hydroxymethylglutaryl-CoA Reductase Inhibitors); 25852-47-5 (Hydrogel); 9000-70-8 (Gelatin); AGG2FN16EV (Simvastatin); ppublish", "page" : "1118-1131", "title" : "Therapeutic effect of local administration of low-dose simvastatin-conjugated gelatin hydrogel for fracture healing", "type" : "article-journal", "volume" : "27" }, "uris" : [ "http://www.mendeley.com/documents/?uuid=ec174e98-2c7e-46c4-ae0b-ad1599e0b63f" ] }, { "id" : "ITEM-7", "itemData" : { "DOI" : "10.3944/AOTT.2011.2526 [doi]", "ISBN" : "1017-995X", "PMID" : "21908968", "abstract" : "OBJECTIVE: Statins stimulate bone formation by inducing the expression of bone morphogenetic proteins (BMP-2). The aim of our study was to investigate the effects of orally administered simvastatin on spinal fusion in rats. METHODS: Twenty rats were randomized into a spinal fusion group (SF) (n=10) or a spinal fusion and oral simvastatin administered group (SFS) (n=10). A spinal fusion was performed between L4-L6 representing two levels. Simvastatin (120 mg/kg/day) was administered orally in the SFS group. The rats were killed at the end of the 12 week study period. RESULTS: Manual palpation revealed two moderate fusions in the SF group. The SFS group did not reveal any signs of pseudoarthrosis. An average three-point bending force causing failure of fusion revealed results of 148.80+/-39.403 Newtons and 123.80+/-28.479 Newtons in SFS and SF groups, respectively (p&gt;0.05). Histological examination revealed better fusion grades in the SFS group (mean: 9.30+/-0.949) than in the SF group (mean: 6.80+/-2.044) (p=0.003). Radiographic examination revealed Grade C fusion in two levels and Grade A fusion in 18 levels in the SF group. In the SFS group, Grade C fusion was detected in one level and Grade A fusions in 19. CONCLUSION: Our results suggest that simvastatin can promote spinal fusion and can be used as an adjunct to spinal fusion procedures in an elderly population with high cholesterol levels.", "author" : [ { "dropping-particle" : "", "family" : "Bostan", "given" : "B", "non-dropping-particle" : "", "parse-names" : false, "suffix" : "" }, { "dropping-particle" : "", "family" : "Gunes", "given" : "T", "non-dropping-particle" : "", "parse-names" : false, "suffix" : "" }, { "dropping-particle" : "", "family" : "Asci", "given" : "M", "non-dropping-particle" : "", "parse-names" : false, "suffix" : "" }, { "dropping-particle" : "", "family" : "Sen", "given" : "C", "non-dropping-particle" : "", "parse-names" : false, "suffix" : "" }, { "dropping-particle" : "", "family" : "Kelestemur", "given" : "M H", "non-dropping-particle" : "", "parse-names" : false, "suffix" : "" }, { "dropping-particle" : "", "family" : "Erdem", "given" : "M", "non-dropping-particle" : "", "parse-names" : false, "suffix" : "" }, { "dropping-particle" : "", "family" : "Koseoglu", "given" : "R D", "non-dropping-particle" : "", "parse-names" : false, "suffix" : "" }, { "dropping-particle" : "", "family" : "Erkorkmaz", "given" : "U", "non-dropping-particle" : "", "parse-names" : false, "suffix" : "" } ], "container-title" : "Acta orthopaedica et traumatologica turcica", "id" : "ITEM-7", "issue" : "4", "issued" : { "date-parts" : [ [ "2011" ] ] }, "note" : "LR: 20131121; JID: 9424806; 0 (BMP2 protein, human); 0 (Bone Morphogenetic Protein 2); 0 (Hydroxymethylglutaryl-CoA Reductase Inhibitors); AGG2FN16EV (Simvastatin); ppublish", "page" : "270-275", "title" : "Simvastatin improves spinal fusion in rats", "type" : "article-journal", "volume" : "45" }, "uris" : [ "http://www.mendeley.com/documents/?uuid=835540ab-492f-42d1-9e73-c9b28ed9e91e" ] } ], "mendeley" : { "formattedCitation" : "&lt;sup&gt;20\u201326&lt;/sup&gt;", "plainTextFormattedCitation" : "20\u201326", "previouslyFormattedCitation" : "&lt;sup&gt;20\u201326&lt;/sup&gt;" }, "properties" : { "noteIndex" : 0 }, "schema" : "https://github.com/citation-style-language/schema/raw/master/csl-citation.json" }</w:instrText>
      </w:r>
      <w:r w:rsidR="00B5008F"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20–26</w:t>
      </w:r>
      <w:r w:rsidR="00B5008F" w:rsidRPr="00030AAD">
        <w:rPr>
          <w:rFonts w:ascii="Times New Roman" w:hAnsi="Times New Roman" w:cs="Times New Roman"/>
          <w:color w:val="000000"/>
          <w:sz w:val="24"/>
          <w:szCs w:val="24"/>
        </w:rPr>
        <w:fldChar w:fldCharType="end"/>
      </w:r>
      <w:r w:rsidR="00B5008F" w:rsidRPr="00030AAD">
        <w:rPr>
          <w:rFonts w:ascii="Times New Roman" w:hAnsi="Times New Roman" w:cs="Times New Roman"/>
          <w:color w:val="000000"/>
          <w:sz w:val="24"/>
          <w:szCs w:val="24"/>
        </w:rPr>
        <w:t xml:space="preserve"> There is, however, relatively </w:t>
      </w:r>
      <w:r w:rsidR="009E6B67" w:rsidRPr="00030AAD">
        <w:rPr>
          <w:rFonts w:ascii="Times New Roman" w:hAnsi="Times New Roman" w:cs="Times New Roman"/>
          <w:color w:val="000000"/>
          <w:sz w:val="24"/>
          <w:szCs w:val="24"/>
        </w:rPr>
        <w:t xml:space="preserve">little literature examining the impact of statins in promoting bone formation after spine surgery. Previous attempts have focused on </w:t>
      </w:r>
      <w:r w:rsidR="00B5008F" w:rsidRPr="00030AAD">
        <w:rPr>
          <w:rFonts w:ascii="Times New Roman" w:hAnsi="Times New Roman" w:cs="Times New Roman"/>
          <w:color w:val="000000"/>
          <w:sz w:val="24"/>
          <w:szCs w:val="24"/>
        </w:rPr>
        <w:t>oral administration,</w:t>
      </w:r>
      <w:r w:rsidR="00B5008F" w:rsidRPr="00030AAD">
        <w:rPr>
          <w:rFonts w:ascii="Times New Roman" w:hAnsi="Times New Roman" w:cs="Times New Roman"/>
          <w:color w:val="000000"/>
          <w:sz w:val="24"/>
          <w:szCs w:val="24"/>
        </w:rPr>
        <w:fldChar w:fldCharType="begin" w:fldLock="1"/>
      </w:r>
      <w:r w:rsidR="00302F26">
        <w:rPr>
          <w:rFonts w:ascii="Times New Roman" w:hAnsi="Times New Roman" w:cs="Times New Roman"/>
          <w:color w:val="000000"/>
          <w:sz w:val="24"/>
          <w:szCs w:val="24"/>
        </w:rPr>
        <w:instrText>ADDIN CSL_CITATION { "citationItems" : [ { "id" : "ITEM-1", "itemData" : { "DOI" : "10.3944/AOTT.2011.2526 [doi]", "ISBN" : "1017-995X", "PMID" : "21908968", "abstract" : "OBJECTIVE: Statins stimulate bone formation by inducing the expression of bone morphogenetic proteins (BMP-2). The aim of our study was to investigate the effects of orally administered simvastatin on spinal fusion in rats. METHODS: Twenty rats were randomized into a spinal fusion group (SF) (n=10) or a spinal fusion and oral simvastatin administered group (SFS) (n=10). A spinal fusion was performed between L4-L6 representing two levels. Simvastatin (120 mg/kg/day) was administered orally in the SFS group. The rats were killed at the end of the 12 week study period. RESULTS: Manual palpation revealed two moderate fusions in the SF group. The SFS group did not reveal any signs of pseudoarthrosis. An average three-point bending force causing failure of fusion revealed results of 148.80+/-39.403 Newtons and 123.80+/-28.479 Newtons in SFS and SF groups, respectively (p&gt;0.05). Histological examination revealed better fusion grades in the SFS group (mean: 9.30+/-0.949) than in the SF group (mean: 6.80+/-2.044) (p=0.003). Radiographic examination revealed Grade C fusion in two levels and Grade A fusion in 18 levels in the SF group. In the SFS group, Grade C fusion was detected in one level and Grade A fusions in 19. CONCLUSION: Our results suggest that simvastatin can promote spinal fusion and can be used as an adjunct to spinal fusion procedures in an elderly population with high cholesterol levels.", "author" : [ { "dropping-particle" : "", "family" : "Bostan", "given" : "B", "non-dropping-particle" : "", "parse-names" : false, "suffix" : "" }, { "dropping-particle" : "", "family" : "Gunes", "given" : "T", "non-dropping-particle" : "", "parse-names" : false, "suffix" : "" }, { "dropping-particle" : "", "family" : "Asci", "given" : "M", "non-dropping-particle" : "", "parse-names" : false, "suffix" : "" }, { "dropping-particle" : "", "family" : "Sen", "given" : "C", "non-dropping-particle" : "", "parse-names" : false, "suffix" : "" }, { "dropping-particle" : "", "family" : "Kelestemur", "given" : "M H", "non-dropping-particle" : "", "parse-names" : false, "suffix" : "" }, { "dropping-particle" : "", "family" : "Erdem", "given" : "M", "non-dropping-particle" : "", "parse-names" : false, "suffix" : "" }, { "dropping-particle" : "", "family" : "Koseoglu", "given" : "R D", "non-dropping-particle" : "", "parse-names" : false, "suffix" : "" }, { "dropping-particle" : "", "family" : "Erkorkmaz", "given" : "U", "non-dropping-particle" : "", "parse-names" : false, "suffix" : "" } ], "container-title" : "Acta orthopaedica et traumatologica turcica", "id" : "ITEM-1", "issue" : "4", "issued" : { "date-parts" : [ [ "2011" ] ] }, "note" : "LR: 20131121; JID: 9424806; 0 (BMP2 protein, human); 0 (Bone Morphogenetic Protein 2); 0 (Hydroxymethylglutaryl-CoA Reductase Inhibitors); AGG2FN16EV (Simvastatin); ppublish", "page" : "270-275", "title" : "Simvastatin improves spinal fusion in rats", "type" : "article-journal", "volume" : "45" }, "uris" : [ "http://www.mendeley.com/documents/?uuid=835540ab-492f-42d1-9e73-c9b28ed9e91e" ] }, { "id" : "ITEM-2", "itemData" : { "DOI" : "S1529-9430(05)01026-0 [pii]", "ISBN" : "1529-9430", "PMID" : "16825044", "abstract" : "BACKGROUND CONTEXT: There has been recent enthusiasm regarding the potential positive effects of statins on bone. Statins vary in their ability to influence bone activity. Simvastatin has been shown in experimental models to stimulate bone acting growth factors and enhance bone formation. PURPOSE: The potential efficacy of Simvastatin in enhancing spinal fusion was evaluated in a rabbit posterolateral intertransverse process fusion model. STUDY DESIGN/SETTING: Posterior lumbar intertransverse process spinal fusion performed on New Zealand White rabbits. PATIENT/STUDY SAMPLE: 44 New Zealand White rabbits. OUTCOME MEASURES: Spinal fusion as determined by manual palpation testing and fine detail radiography. Bone fusion mass volume and density as determined by CT scan imaging. METHODS: Forty-four New Zealand White rabbits underwent posterolateral intertransverse process spine fusion using autogenous iliac crest bone graft. Simvastatin was administered orally in 20 animals and the serum lipid profile quantified in test and control animals. The animals were euthanized 9 weeks following index surgery and the lumbar spine was harvested. Spinal fusion was determined by manual palpation testing and fine detail radiography. The volume and density of the bone fusion mass was quantified by computed tomography. RESULTS: Drug treatment for 9 weeks caused a reduction in serum lipid biochemical markers when compared with controls. The spinal fusion rate, as judged by manual palpation testing (13.0% control group, 16.6% Simvastatin group) and fine detail radiography, was not significantly different comparing treatment with control animals. Accordant with the assessment of spinal fusion, there was no statistically significant effect on the volume of the fusion mass (1,224.7+/-98.7 mm(3) in the control group and 1,075.9+/-66.3 mm(3) in the Simvastatin group), the density of bone in the lumbar spine or that in the formed fusion mass. CONCLUSIONS: Systemic use of Simvastatin caused a reduction in lipid biochemical parameters in treated animals. Successful spinal fusion as judged by manual palpation testing and fine detail radiography was not significantly different in treated versus untreated animals. The bone volume density of the formed fusion mass was not significantly different in treated versus untreated animals. There did not appear to be a significant advantage or disadvantage to the use of Simvastatin rabbit posterolateral spinal fusion. The potential positive effec\u2026", "author" : [ { "dropping-particle" : "", "family" : "Yee", "given" : "A J", "non-dropping-particle" : "", "parse-names" : false, "suffix" : "" }, { "dropping-particle" : "", "family" : "Bae", "given" : "H W", "non-dropping-particle" : "", "parse-names" : false, "suffix" : "" }, { "dropping-particle" : "", "family" : "Friess", "given" : "D", "non-dropping-particle" : "", "parse-names" : false, "suffix" : "" }, { "dropping-particle" : "", "family" : "Roth", "given" : "S M", "non-dropping-particle" : "", "parse-names" : false, "suffix" : "" }, { "dropping-particle" : "", "family" : "Whyne", "given" : "C", "non-dropping-particle" : "", "parse-names" : false, "suffix" : "" }, { "dropping-particle" : "", "family" : "Robbin", "given" : "M", "non-dropping-particle" : "", "parse-names" : false, "suffix" : "" }, { "dropping-particle" : "", "family" : "Johnstone", "given" : "B", "non-dropping-particle" : "", "parse-names" : false, "suffix" : "" }, { "dropping-particle" : "", "family" : "Yoo", "given" : "J U", "non-dropping-particle" : "", "parse-names" : false, "suffix" : "" } ], "container-title" : "The spine journal : official journal of the North American Spine Society", "id" : "ITEM-2", "issue" : "4", "issued" : { "date-parts" : [ [ "2006" ] ] }, "note" : "LR: 20131121; JID: 101130732; 0 (Hydroxymethylglutaryl-CoA Reductase Inhibitors); 0 (Triglycerides); 97C5T2UQ7J (Cholesterol); AGG2FN16EV (Simvastatin); 2005/08/10 [received]; 2005/10/05 [accepted]; ppublish", "page" : "391-396", "title" : "The use of simvastatin in rabbit posterolateral lumbar intertransverse process spine fusion", "type" : "article-journal", "volume" : "6" }, "uris" : [ "http://www.mendeley.com/documents/?uuid=4c54be63-8511-4afb-a069-2b6518272651" ] } ], "mendeley" : { "formattedCitation" : "&lt;sup&gt;26,27&lt;/sup&gt;", "plainTextFormattedCitation" : "26,27", "previouslyFormattedCitation" : "&lt;sup&gt;26,27&lt;/sup&gt;" }, "properties" : { "noteIndex" : 0 }, "schema" : "https://github.com/citation-style-language/schema/raw/master/csl-citation.json" }</w:instrText>
      </w:r>
      <w:r w:rsidR="00B5008F"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26,27</w:t>
      </w:r>
      <w:r w:rsidR="00B5008F" w:rsidRPr="00030AAD">
        <w:rPr>
          <w:rFonts w:ascii="Times New Roman" w:hAnsi="Times New Roman" w:cs="Times New Roman"/>
          <w:color w:val="000000"/>
          <w:sz w:val="24"/>
          <w:szCs w:val="24"/>
        </w:rPr>
        <w:fldChar w:fldCharType="end"/>
      </w:r>
      <w:r w:rsidR="00B5008F" w:rsidRPr="00030AAD">
        <w:rPr>
          <w:rFonts w:ascii="Times New Roman" w:hAnsi="Times New Roman" w:cs="Times New Roman"/>
          <w:color w:val="000000"/>
          <w:sz w:val="24"/>
          <w:szCs w:val="24"/>
        </w:rPr>
        <w:t xml:space="preserve"> </w:t>
      </w:r>
      <w:r w:rsidR="001F5BE3" w:rsidRPr="00030AAD">
        <w:rPr>
          <w:rFonts w:ascii="Times New Roman" w:hAnsi="Times New Roman" w:cs="Times New Roman"/>
          <w:color w:val="000000"/>
          <w:sz w:val="24"/>
          <w:szCs w:val="24"/>
        </w:rPr>
        <w:t>a strategy that is fundamentally limited given the drug’s high first-pass metabolism in the liver and low bioavailability in the bone</w:t>
      </w:r>
      <w:r w:rsidR="00B5008F" w:rsidRPr="00030AAD">
        <w:rPr>
          <w:rFonts w:ascii="Times New Roman" w:hAnsi="Times New Roman" w:cs="Times New Roman"/>
          <w:color w:val="000000"/>
          <w:sz w:val="24"/>
          <w:szCs w:val="24"/>
        </w:rPr>
        <w:t>.</w:t>
      </w:r>
      <w:r w:rsidR="00B5008F" w:rsidRPr="00030AAD">
        <w:rPr>
          <w:rFonts w:ascii="Times New Roman" w:hAnsi="Times New Roman" w:cs="Times New Roman"/>
          <w:color w:val="000000"/>
          <w:sz w:val="24"/>
          <w:szCs w:val="24"/>
        </w:rPr>
        <w:fldChar w:fldCharType="begin" w:fldLock="1"/>
      </w:r>
      <w:r w:rsidR="00302F26">
        <w:rPr>
          <w:rFonts w:ascii="Times New Roman" w:hAnsi="Times New Roman" w:cs="Times New Roman"/>
          <w:color w:val="000000"/>
          <w:sz w:val="24"/>
          <w:szCs w:val="24"/>
        </w:rPr>
        <w:instrText>ADDIN CSL_CITATION { "citationItems" : [ { "id" : "ITEM-1", "itemData" : { "DOI" : "10.1042/BSR20110118 [doi]", "ISBN" : "1573-4935", "PMID" : "22799752", "abstract" : "Osteoporosis is a common disease in the elderly population. The progress of this disease results in the reduction of bone mass and can increase the incidence of fractures. Drugs presently used clinically can block the aggravation of this disease. However, these drugs cannot increase the bone mass and may result in certain side effects. Statins, also known as HMG-CoA (3-hydroxy-3-methylglutaryl-CoA) reductase inhibitors, have been widely prescribed for CVD (cardiovascular disease) for decades. Nonetheless, several studies have demonstrated that statins exert bone anabolic effect and may be helpful for the treatment of osteoporosis. Several experiments have analysed the mechanisms of bone anabolism regulated by statins. In the present paper, we review the mechanisms of promoting osteogenesis, suppressing osteoblast apoptosis and inhibiting osteoclastogenesis.", "author" : [ { "dropping-particle" : "", "family" : "Ruan", "given" : "F", "non-dropping-particle" : "", "parse-names" : false, "suffix" : "" }, { "dropping-particle" : "", "family" : "Zheng", "given" : "Q", "non-dropping-particle" : "", "parse-names" : false, "suffix" : "" }, { "dropping-particle" : "", "family" : "Wang", "given" : "J", "non-dropping-particle" : "", "parse-names" : false, "suffix" : "" } ], "container-title" : "Bioscience reports", "id" : "ITEM-1", "issue" : "6", "issued" : { "date-parts" : [ [ "2012", "12" ] ] }, "note" : "LR: 20131115; JID: 8102797; 0 (Hydroxymethylglutaryl-CoA Reductase Inhibitors); OID: NLM: PMC3499024; ppublish", "page" : "511-519", "title" : "Mechanisms of bone anabolism regulated by statins", "type" : "article-journal", "volume" : "32" }, "uris" : [ "http://www.mendeley.com/documents/?uuid=7f9ab121-e217-4f4f-bcc8-75f758903ec4" ] }, { "id" : "ITEM-2", "itemData" : { "ISBN" : "1109-3099", "PMID" : "22801558", "abstract" : "Osteoporosis is a major health problem affecting both men and women. Statins, besides their action as lipid-lowering agents, seem to have additional pleiotropic properties, among them a beneficial effect on bone mineral density. The entirety of experimental and the majority of clinical studies as well as the only relevant meta-analysis suggest that statins have an anabolic effect on bone metabolism. Statins, osteoporosis and adipogenesis share the same pathway, RANKL/OPG. It would appear that an imbalance in this pathway could be responsible for the manifestation of some metabolic disorders such as diabetes mellitus, atherogenesis, multiple myeloma, osteoporosis. Possibly in the future, drugs which can intervene in this biochemical and pathophysiological cascade, like statins, in a variety of doses, could be used for the management of ectopic ossification syndromes and other bone disorders, even as an additive treatment. Until then, further large longitudinal randomized controlled studies for each statin separately are required to confirm this hypothesis.", "author" : [ { "dropping-particle" : "", "family" : "Tsartsalis", "given" : "A N", "non-dropping-particle" : "", "parse-names" : false, "suffix" : "" }, { "dropping-particle" : "", "family" : "Dokos", "given" : "C", "non-dropping-particle" : "", "parse-names" : false, "suffix" : "" }, { "dropping-particle" : "", "family" : "Kaiafa", "given" : "G D", "non-dropping-particle" : "", "parse-names" : false, "suffix" : "" }, { "dropping-particle" : "", "family" : "Tsartsalis", "given" : "D N", "non-dropping-particle" : "", "parse-names" : false, "suffix" : "" }, { "dropping-particle" : "", "family" : "Kattamis", "given" : "A", "non-dropping-particle" : "", "parse-names" : false, "suffix" : "" }, { "dropping-particle" : "", "family" : "Hatzitolios", "given" : "A I", "non-dropping-particle" : "", "parse-names" : false, "suffix" : "" }, { "dropping-particle" : "", "family" : "Savopoulos", "given" : "C G", "non-dropping-particle" : "", "parse-names" : false, "suffix" : "" } ], "container-title" : "Hormones (Athens, Greece)", "id" : "ITEM-2", "issue" : "2", "issued" : { "date-parts" : [ [ "2012" ] ] }, "note" : "LR: 20131121; JID: 101142469; 0 (Hypolipidemic Agents); 0 (RANK Ligand); 0 (TNFSF11 protein, human); AGG2FN16EV (Simvastatin); ppublish", "page" : "126-139", "title" : "Statins, bone formation and osteoporosis: hope or hype?", "type" : "article-journal", "volume" : "11" }, "uris" : [ "http://www.mendeley.com/documents/?uuid=dd63e79e-6993-4786-8789-6348812aa31e" ] } ], "mendeley" : { "formattedCitation" : "&lt;sup&gt;21,22&lt;/sup&gt;", "plainTextFormattedCitation" : "21,22", "previouslyFormattedCitation" : "&lt;sup&gt;21,22&lt;/sup&gt;" }, "properties" : { "noteIndex" : 0 }, "schema" : "https://github.com/citation-style-language/schema/raw/master/csl-citation.json" }</w:instrText>
      </w:r>
      <w:r w:rsidR="00B5008F" w:rsidRPr="00030AAD">
        <w:rPr>
          <w:rFonts w:ascii="Times New Roman" w:hAnsi="Times New Roman" w:cs="Times New Roman"/>
          <w:color w:val="000000"/>
          <w:sz w:val="24"/>
          <w:szCs w:val="24"/>
        </w:rPr>
        <w:fldChar w:fldCharType="separate"/>
      </w:r>
      <w:r w:rsidR="00030AAD" w:rsidRPr="00030AAD">
        <w:rPr>
          <w:rFonts w:ascii="Times New Roman" w:hAnsi="Times New Roman" w:cs="Times New Roman"/>
          <w:noProof/>
          <w:color w:val="000000"/>
          <w:sz w:val="24"/>
          <w:szCs w:val="24"/>
          <w:vertAlign w:val="superscript"/>
        </w:rPr>
        <w:t>21,22</w:t>
      </w:r>
      <w:r w:rsidR="00B5008F" w:rsidRPr="00030AAD">
        <w:rPr>
          <w:rFonts w:ascii="Times New Roman" w:hAnsi="Times New Roman" w:cs="Times New Roman"/>
          <w:color w:val="000000"/>
          <w:sz w:val="24"/>
          <w:szCs w:val="24"/>
        </w:rPr>
        <w:fldChar w:fldCharType="end"/>
      </w:r>
    </w:p>
    <w:p w14:paraId="2A1D8F18" w14:textId="19258994" w:rsidR="001F5BE3" w:rsidRPr="00030AAD" w:rsidRDefault="00B5008F" w:rsidP="009E6B67">
      <w:pPr>
        <w:tabs>
          <w:tab w:val="left" w:pos="720"/>
          <w:tab w:val="left" w:pos="1440"/>
          <w:tab w:val="left" w:pos="2070"/>
        </w:tabs>
        <w:rPr>
          <w:rFonts w:ascii="Times New Roman" w:hAnsi="Times New Roman" w:cs="Times New Roman"/>
          <w:color w:val="000000"/>
          <w:sz w:val="24"/>
          <w:szCs w:val="24"/>
        </w:rPr>
      </w:pPr>
      <w:r w:rsidRPr="00030AAD">
        <w:rPr>
          <w:rFonts w:ascii="Times New Roman" w:hAnsi="Times New Roman" w:cs="Times New Roman"/>
          <w:color w:val="000000"/>
          <w:sz w:val="24"/>
          <w:szCs w:val="24"/>
        </w:rPr>
        <w:t xml:space="preserve">We sought to address these shortcomings by </w:t>
      </w:r>
      <w:r w:rsidR="009E6B67" w:rsidRPr="00030AAD">
        <w:rPr>
          <w:rFonts w:ascii="Times New Roman" w:hAnsi="Times New Roman" w:cs="Times New Roman"/>
          <w:color w:val="000000"/>
          <w:sz w:val="24"/>
          <w:szCs w:val="24"/>
        </w:rPr>
        <w:t>develop</w:t>
      </w:r>
      <w:r w:rsidRPr="00030AAD">
        <w:rPr>
          <w:rFonts w:ascii="Times New Roman" w:hAnsi="Times New Roman" w:cs="Times New Roman"/>
          <w:color w:val="000000"/>
          <w:sz w:val="24"/>
          <w:szCs w:val="24"/>
        </w:rPr>
        <w:t>ing</w:t>
      </w:r>
      <w:r w:rsidR="009E6B67" w:rsidRPr="00030AAD">
        <w:rPr>
          <w:rFonts w:ascii="Times New Roman" w:hAnsi="Times New Roman" w:cs="Times New Roman"/>
          <w:color w:val="000000"/>
          <w:sz w:val="24"/>
          <w:szCs w:val="24"/>
        </w:rPr>
        <w:t xml:space="preserve"> a device to enable local delivery of simvastatin to the spine </w:t>
      </w:r>
      <w:r w:rsidRPr="00030AAD">
        <w:rPr>
          <w:rFonts w:ascii="Times New Roman" w:hAnsi="Times New Roman" w:cs="Times New Roman"/>
          <w:color w:val="000000"/>
          <w:sz w:val="24"/>
          <w:szCs w:val="24"/>
        </w:rPr>
        <w:t>and to</w:t>
      </w:r>
      <w:r w:rsidR="009E6B67" w:rsidRPr="00030AAD">
        <w:rPr>
          <w:rFonts w:ascii="Times New Roman" w:hAnsi="Times New Roman" w:cs="Times New Roman"/>
          <w:color w:val="000000"/>
          <w:sz w:val="24"/>
          <w:szCs w:val="24"/>
        </w:rPr>
        <w:t xml:space="preserve"> d</w:t>
      </w:r>
      <w:r w:rsidR="001F5BE3" w:rsidRPr="00030AAD">
        <w:rPr>
          <w:rFonts w:ascii="Times New Roman" w:hAnsi="Times New Roman" w:cs="Times New Roman"/>
          <w:color w:val="000000"/>
          <w:sz w:val="24"/>
          <w:szCs w:val="24"/>
        </w:rPr>
        <w:t>etermine the impact of locall</w:t>
      </w:r>
      <w:r w:rsidRPr="00030AAD">
        <w:rPr>
          <w:rFonts w:ascii="Times New Roman" w:hAnsi="Times New Roman" w:cs="Times New Roman"/>
          <w:color w:val="000000"/>
          <w:sz w:val="24"/>
          <w:szCs w:val="24"/>
        </w:rPr>
        <w:t>y delivered simvastatin on spinal</w:t>
      </w:r>
      <w:r w:rsidR="001F5BE3" w:rsidRPr="00030AAD">
        <w:rPr>
          <w:rFonts w:ascii="Times New Roman" w:hAnsi="Times New Roman" w:cs="Times New Roman"/>
          <w:color w:val="000000"/>
          <w:sz w:val="24"/>
          <w:szCs w:val="24"/>
        </w:rPr>
        <w:t xml:space="preserve"> fusion in a rat model.</w:t>
      </w:r>
      <w:r w:rsidR="009E6B67" w:rsidRPr="00030AAD">
        <w:rPr>
          <w:rFonts w:ascii="Times New Roman" w:hAnsi="Times New Roman" w:cs="Times New Roman"/>
          <w:b/>
          <w:i/>
          <w:color w:val="000000"/>
          <w:sz w:val="24"/>
          <w:szCs w:val="24"/>
        </w:rPr>
        <w:t xml:space="preserve"> </w:t>
      </w:r>
      <w:r w:rsidR="009E6B67" w:rsidRPr="00030AAD">
        <w:rPr>
          <w:rFonts w:ascii="Times New Roman" w:hAnsi="Times New Roman" w:cs="Times New Roman"/>
          <w:color w:val="000000"/>
          <w:sz w:val="24"/>
          <w:szCs w:val="24"/>
        </w:rPr>
        <w:t xml:space="preserve">We hypothesized that we could successfully deliver simvastatin to the spine using a </w:t>
      </w:r>
      <w:proofErr w:type="gramStart"/>
      <w:r w:rsidR="00D15CEC" w:rsidRPr="00030AAD">
        <w:rPr>
          <w:rFonts w:ascii="Times New Roman" w:hAnsi="Times New Roman" w:cs="Times New Roman"/>
          <w:color w:val="000000"/>
          <w:sz w:val="24"/>
          <w:szCs w:val="24"/>
        </w:rPr>
        <w:t>poly(</w:t>
      </w:r>
      <w:proofErr w:type="gramEnd"/>
      <w:r w:rsidR="00D15CEC" w:rsidRPr="00030AAD">
        <w:rPr>
          <w:rFonts w:ascii="Times New Roman" w:hAnsi="Times New Roman" w:cs="Times New Roman"/>
          <w:color w:val="000000"/>
          <w:sz w:val="24"/>
          <w:szCs w:val="24"/>
        </w:rPr>
        <w:t>lactic-co-glycolic acid) (</w:t>
      </w:r>
      <w:r w:rsidR="009E6B67" w:rsidRPr="00030AAD">
        <w:rPr>
          <w:rFonts w:ascii="Times New Roman" w:hAnsi="Times New Roman" w:cs="Times New Roman"/>
          <w:color w:val="000000"/>
          <w:sz w:val="24"/>
          <w:szCs w:val="24"/>
        </w:rPr>
        <w:t>PLGA</w:t>
      </w:r>
      <w:r w:rsidR="00D15CEC" w:rsidRPr="00030AAD">
        <w:rPr>
          <w:rFonts w:ascii="Times New Roman" w:hAnsi="Times New Roman" w:cs="Times New Roman"/>
          <w:color w:val="000000"/>
          <w:sz w:val="24"/>
          <w:szCs w:val="24"/>
        </w:rPr>
        <w:t>)</w:t>
      </w:r>
      <w:r w:rsidR="009E6B67" w:rsidRPr="00030AAD">
        <w:rPr>
          <w:rFonts w:ascii="Times New Roman" w:hAnsi="Times New Roman" w:cs="Times New Roman"/>
          <w:color w:val="000000"/>
          <w:sz w:val="24"/>
          <w:szCs w:val="24"/>
        </w:rPr>
        <w:t xml:space="preserve"> nanoparticle and that the use of these nanoparticles would result in increased bone formation and </w:t>
      </w:r>
      <w:r w:rsidRPr="00030AAD">
        <w:rPr>
          <w:rFonts w:ascii="Times New Roman" w:hAnsi="Times New Roman" w:cs="Times New Roman"/>
          <w:color w:val="000000"/>
          <w:sz w:val="24"/>
          <w:szCs w:val="24"/>
        </w:rPr>
        <w:t>fusion rates</w:t>
      </w:r>
      <w:r w:rsidR="009E6B67" w:rsidRPr="00030AAD">
        <w:rPr>
          <w:rFonts w:ascii="Times New Roman" w:hAnsi="Times New Roman" w:cs="Times New Roman"/>
          <w:color w:val="000000"/>
          <w:sz w:val="24"/>
          <w:szCs w:val="24"/>
        </w:rPr>
        <w:t>.</w:t>
      </w:r>
    </w:p>
    <w:p w14:paraId="2AE0C029" w14:textId="77777777" w:rsidR="008355BA" w:rsidRDefault="008355BA">
      <w:pPr>
        <w:rPr>
          <w:rFonts w:ascii="Times New Roman" w:hAnsi="Times New Roman" w:cs="Times New Roman"/>
          <w:b/>
          <w:sz w:val="24"/>
          <w:szCs w:val="24"/>
          <w:u w:val="single"/>
        </w:rPr>
      </w:pPr>
    </w:p>
    <w:p w14:paraId="213D396F" w14:textId="015EBF62" w:rsidR="001F5BE3" w:rsidRPr="008355BA" w:rsidRDefault="008355BA">
      <w:pPr>
        <w:rPr>
          <w:rFonts w:ascii="Times New Roman" w:hAnsi="Times New Roman" w:cs="Times New Roman"/>
          <w:b/>
          <w:sz w:val="24"/>
          <w:szCs w:val="24"/>
          <w:u w:val="single"/>
        </w:rPr>
      </w:pPr>
      <w:r>
        <w:rPr>
          <w:rFonts w:ascii="Times New Roman" w:hAnsi="Times New Roman" w:cs="Times New Roman"/>
          <w:b/>
          <w:sz w:val="24"/>
          <w:szCs w:val="24"/>
          <w:u w:val="single"/>
        </w:rPr>
        <w:t>METHODS</w:t>
      </w:r>
    </w:p>
    <w:p w14:paraId="4DB5EDF5" w14:textId="77777777" w:rsidR="00D15CEC" w:rsidRPr="005F5A7A" w:rsidRDefault="005B4C5E" w:rsidP="005B4C5E">
      <w:pPr>
        <w:tabs>
          <w:tab w:val="left" w:pos="180"/>
        </w:tabs>
        <w:autoSpaceDE w:val="0"/>
        <w:autoSpaceDN w:val="0"/>
        <w:adjustRightInd w:val="0"/>
        <w:rPr>
          <w:rFonts w:ascii="Times New Roman" w:hAnsi="Times New Roman" w:cs="Times New Roman"/>
          <w:b/>
          <w:bCs/>
          <w:sz w:val="24"/>
          <w:szCs w:val="24"/>
        </w:rPr>
      </w:pPr>
      <w:r w:rsidRPr="005F5A7A">
        <w:rPr>
          <w:rFonts w:ascii="Times New Roman" w:hAnsi="Times New Roman" w:cs="Times New Roman"/>
          <w:b/>
          <w:bCs/>
          <w:sz w:val="24"/>
          <w:szCs w:val="24"/>
        </w:rPr>
        <w:lastRenderedPageBreak/>
        <w:t>Nanoparticle Preparation</w:t>
      </w:r>
    </w:p>
    <w:p w14:paraId="104E75E5" w14:textId="5EC3F2CF" w:rsidR="002159C3" w:rsidRPr="00030AAD" w:rsidRDefault="002159C3" w:rsidP="002159C3">
      <w:pPr>
        <w:tabs>
          <w:tab w:val="left" w:pos="180"/>
        </w:tabs>
        <w:autoSpaceDE w:val="0"/>
        <w:autoSpaceDN w:val="0"/>
        <w:adjustRightInd w:val="0"/>
        <w:rPr>
          <w:rFonts w:ascii="Times New Roman" w:hAnsi="Times New Roman" w:cs="Times New Roman"/>
          <w:bCs/>
          <w:sz w:val="24"/>
          <w:szCs w:val="24"/>
        </w:rPr>
      </w:pPr>
      <w:r w:rsidRPr="00030AAD">
        <w:rPr>
          <w:rFonts w:ascii="Times New Roman" w:hAnsi="Times New Roman" w:cs="Times New Roman"/>
          <w:bCs/>
          <w:sz w:val="24"/>
          <w:szCs w:val="24"/>
        </w:rPr>
        <w:t>We adapted previously described methods</w:t>
      </w:r>
      <w:r w:rsidRPr="00030AAD">
        <w:rPr>
          <w:rFonts w:ascii="Times New Roman" w:hAnsi="Times New Roman" w:cs="Times New Roman"/>
          <w:bCs/>
          <w:sz w:val="24"/>
          <w:szCs w:val="24"/>
        </w:rPr>
        <w:fldChar w:fldCharType="begin" w:fldLock="1"/>
      </w:r>
      <w:r w:rsidR="00302F26">
        <w:rPr>
          <w:rFonts w:ascii="Times New Roman" w:hAnsi="Times New Roman" w:cs="Times New Roman"/>
          <w:bCs/>
          <w:sz w:val="24"/>
          <w:szCs w:val="24"/>
        </w:rPr>
        <w:instrText>ADDIN CSL_CITATION { "citationItems" : [ { "id" : "ITEM-1", "itemData" : { "DOI" : "10.1002/jor.21421 [doi]", "ISBN" : "1554-527X", "PMID" : "21462251", "abstract" : "Lovastatin exhibits higher thermal stability and lower degradation rate than simvastatin. However, the amount of research studying a lovastatin delivery device has been far less than similar research on simvastatin. As a consequence, a high lovastatin release rate system has not been developed. We hypothesized that highly efficient release of lovastatin from poly(lactic-co-glycolic acid) (PLGA) nanoparticles in a short-term release (7 days) could provide an effective delivery system for bone repair. This study optimized the emulsion (o/w) technique in the fabrication process for PLGA nanoparticles, thereby producing the first recorded case of a high release rate (97%) of lovastatin. We also calculated the calibration curve of lovastatin using a UV spectrometer. The results demonstrated that the ALPase activity in human osteoblasts could be significantly stimulated by lovastatin carried in PLGA nanoparticles, but was prominently decreased by free lovastatin with the concentration higher than 4 microg/ml. Animal studies showed that the amount of lovastatin contained in 1 mg PLGA was the optimum dosage. These results suggest the new lovastatin-releasing PLGA delivery device exhibits potential for clinical treatment of bony defects.", "author" : [ { "dropping-particle" : "", "family" : "Ho", "given" : "M H", "non-dropping-particle" : "", "parse-names" : false, "suffix" : "" }, { "dropping-particle" : "", "family" : "Chiang", "given" : "C P", "non-dropping-particle" : "", "parse-names" : false, "suffix" : "" }, { "dropping-particle" : "", "family" : "Liu", "given" : "Y F", "non-dropping-particle" : "", "parse-names" : false, "suffix" : "" }, { "dropping-particle" : "", "family" : "Kuo", "given" : "M Y", "non-dropping-particle" : "", "parse-names" : false, "suffix" : "" }, { "dropping-particle" : "", "family" : "Lin", "given" : "S K", "non-dropping-particle" : "", "parse-names" : false, "suffix" : "" }, { "dropping-particle" : "", "family" : "Lai", "given" : "J Y", "non-dropping-particle" : "", "parse-names" : false, "suffix" : "" }, { "dropping-particle" : "", "family" : "Lee", "given" : "B S", "non-dropping-particle" : "", "parse-names" : false, "suffix" : "" } ], "container-title" : "Journal of orthopaedic research : official publication of the Orthopaedic Research Society", "id" : "ITEM-1", "issue" : "10", "issued" : { "date-parts" : [ [ "2011", "10" ] ] }, "note" : "LR: 20131121; CI: Copyright (c) 2011; JID: 8404726; 0 (Delayed-Action Preparations); 0 (Drug Carriers); 0 (Hydroxymethylglutaryl-CoA Reductase Inhibitors); 0 (polylactic acid-polyglycolic acid copolymer); 26009-03-0 (Polyglycolic Acid); 33X04XA5AT (Lactic Acid); 9LHU78OQFD (Lovastatin); EC 3.1.3.1 (Alkaline Phosphatase); 2010/11/14 [received]; 2011/03/03 [accepted]; 2011/04/01 [aheadofprint]; ppublish", "page" : "1504-1510", "title" : "Highly efficient release of lovastatin from poly(lactic-co-glycolic acid) nanoparticles enhances bone repair in rats", "type" : "article-journal", "volume" : "29" }, "uris" : [ "http://www.mendeley.com/documents/?uuid=864b85be-cb81-49a0-af4a-32f74259f66c" ] } ], "mendeley" : { "formattedCitation" : "&lt;sup&gt;24&lt;/sup&gt;", "plainTextFormattedCitation" : "24", "previouslyFormattedCitation" : "&lt;sup&gt;24&lt;/sup&gt;" }, "properties" : { "noteIndex" : 0 }, "schema" : "https://github.com/citation-style-language/schema/raw/master/csl-citation.json" }</w:instrText>
      </w:r>
      <w:r w:rsidRPr="00030AAD">
        <w:rPr>
          <w:rFonts w:ascii="Times New Roman" w:hAnsi="Times New Roman" w:cs="Times New Roman"/>
          <w:bCs/>
          <w:sz w:val="24"/>
          <w:szCs w:val="24"/>
        </w:rPr>
        <w:fldChar w:fldCharType="separate"/>
      </w:r>
      <w:r w:rsidR="00030AAD" w:rsidRPr="00030AAD">
        <w:rPr>
          <w:rFonts w:ascii="Times New Roman" w:hAnsi="Times New Roman" w:cs="Times New Roman"/>
          <w:bCs/>
          <w:noProof/>
          <w:sz w:val="24"/>
          <w:szCs w:val="24"/>
          <w:vertAlign w:val="superscript"/>
        </w:rPr>
        <w:t>24</w:t>
      </w:r>
      <w:r w:rsidRPr="00030AAD">
        <w:rPr>
          <w:rFonts w:ascii="Times New Roman" w:hAnsi="Times New Roman" w:cs="Times New Roman"/>
          <w:bCs/>
          <w:sz w:val="24"/>
          <w:szCs w:val="24"/>
        </w:rPr>
        <w:fldChar w:fldCharType="end"/>
      </w:r>
      <w:r w:rsidRPr="00030AAD">
        <w:rPr>
          <w:rFonts w:ascii="Times New Roman" w:hAnsi="Times New Roman" w:cs="Times New Roman"/>
          <w:bCs/>
          <w:sz w:val="24"/>
          <w:szCs w:val="24"/>
        </w:rPr>
        <w:t xml:space="preserve"> to design PLGA nanoparticles. In brief, 120mg of PLGA was added in 2.4mL of chloroform. This solution was sonicated for 2 min at 30W, immediately added to 24 mL of a 2% polyvinyl alcohol (PVA) solution in water and sonicated again at 30W for 30s yielding an opaque, white suspension. Chloroform was removed under reduced pressure and the particles were centrifuged at 3000 RPM for 5 minutes, the nanoparticles were isolated and lyophilized. Nanoparticles were stored at -80°C. Two types of nanoparticles were made – blank nanoparticles (</w:t>
      </w:r>
      <w:proofErr w:type="spellStart"/>
      <w:r w:rsidRPr="00030AAD">
        <w:rPr>
          <w:rFonts w:ascii="Times New Roman" w:hAnsi="Times New Roman" w:cs="Times New Roman"/>
          <w:bCs/>
          <w:sz w:val="24"/>
          <w:szCs w:val="24"/>
        </w:rPr>
        <w:t>BlankNP</w:t>
      </w:r>
      <w:proofErr w:type="spellEnd"/>
      <w:r w:rsidRPr="00030AAD">
        <w:rPr>
          <w:rFonts w:ascii="Times New Roman" w:hAnsi="Times New Roman" w:cs="Times New Roman"/>
          <w:bCs/>
          <w:sz w:val="24"/>
          <w:szCs w:val="24"/>
        </w:rPr>
        <w:t>) containing only PLGA and simvastatin-loaded nanoparticles (</w:t>
      </w:r>
      <w:proofErr w:type="spellStart"/>
      <w:r w:rsidRPr="00030AAD">
        <w:rPr>
          <w:rFonts w:ascii="Times New Roman" w:hAnsi="Times New Roman" w:cs="Times New Roman"/>
          <w:bCs/>
          <w:sz w:val="24"/>
          <w:szCs w:val="24"/>
        </w:rPr>
        <w:t>SimNP</w:t>
      </w:r>
      <w:proofErr w:type="spellEnd"/>
      <w:r w:rsidRPr="00030AAD">
        <w:rPr>
          <w:rFonts w:ascii="Times New Roman" w:hAnsi="Times New Roman" w:cs="Times New Roman"/>
          <w:bCs/>
          <w:sz w:val="24"/>
          <w:szCs w:val="24"/>
        </w:rPr>
        <w:t xml:space="preserve">) containing both simvastatin and PLGA. To fabricate </w:t>
      </w:r>
      <w:proofErr w:type="spellStart"/>
      <w:r w:rsidRPr="00030AAD">
        <w:rPr>
          <w:rFonts w:ascii="Times New Roman" w:hAnsi="Times New Roman" w:cs="Times New Roman"/>
          <w:bCs/>
          <w:sz w:val="24"/>
          <w:szCs w:val="24"/>
        </w:rPr>
        <w:t>SimNP</w:t>
      </w:r>
      <w:proofErr w:type="spellEnd"/>
      <w:r w:rsidRPr="00030AAD">
        <w:rPr>
          <w:rFonts w:ascii="Times New Roman" w:hAnsi="Times New Roman" w:cs="Times New Roman"/>
          <w:bCs/>
          <w:sz w:val="24"/>
          <w:szCs w:val="24"/>
        </w:rPr>
        <w:t xml:space="preserve">, 12mg of simvastatin (SIM; Sigma Aldrich, St Louis, Mo) was added to the initial PLGA-chloroform solution. </w:t>
      </w:r>
    </w:p>
    <w:p w14:paraId="7790392C" w14:textId="77777777" w:rsidR="00654C1F" w:rsidRPr="005F5A7A" w:rsidRDefault="00654C1F" w:rsidP="005B4C5E">
      <w:pPr>
        <w:tabs>
          <w:tab w:val="left" w:pos="180"/>
        </w:tabs>
        <w:autoSpaceDE w:val="0"/>
        <w:autoSpaceDN w:val="0"/>
        <w:adjustRightInd w:val="0"/>
        <w:rPr>
          <w:rFonts w:ascii="Times New Roman" w:hAnsi="Times New Roman" w:cs="Times New Roman"/>
          <w:b/>
          <w:bCs/>
          <w:sz w:val="24"/>
          <w:szCs w:val="24"/>
        </w:rPr>
      </w:pPr>
      <w:r w:rsidRPr="005F5A7A">
        <w:rPr>
          <w:rFonts w:ascii="Times New Roman" w:hAnsi="Times New Roman" w:cs="Times New Roman"/>
          <w:b/>
          <w:bCs/>
          <w:sz w:val="24"/>
          <w:szCs w:val="24"/>
        </w:rPr>
        <w:t>Characterization of the Nanoparticles</w:t>
      </w:r>
    </w:p>
    <w:p w14:paraId="3E7DACC2" w14:textId="78B2E3CF" w:rsidR="002159C3" w:rsidRPr="00030AAD" w:rsidRDefault="002159C3" w:rsidP="002159C3">
      <w:pPr>
        <w:tabs>
          <w:tab w:val="left" w:pos="180"/>
        </w:tabs>
        <w:autoSpaceDE w:val="0"/>
        <w:autoSpaceDN w:val="0"/>
        <w:adjustRightInd w:val="0"/>
        <w:rPr>
          <w:rFonts w:ascii="Times New Roman" w:eastAsia="Times New Roman" w:hAnsi="Times New Roman" w:cs="Times New Roman"/>
          <w:sz w:val="24"/>
          <w:szCs w:val="24"/>
        </w:rPr>
      </w:pPr>
      <w:r w:rsidRPr="00030AAD">
        <w:rPr>
          <w:rFonts w:ascii="Times New Roman" w:eastAsia="Times New Roman" w:hAnsi="Times New Roman" w:cs="Times New Roman"/>
          <w:i/>
          <w:iCs/>
          <w:sz w:val="24"/>
          <w:szCs w:val="24"/>
        </w:rPr>
        <w:t xml:space="preserve">Electron Microscopy: </w:t>
      </w:r>
      <w:r w:rsidRPr="00030AAD">
        <w:rPr>
          <w:rFonts w:ascii="Times New Roman" w:hAnsi="Times New Roman" w:cs="Times New Roman"/>
          <w:color w:val="000000"/>
          <w:sz w:val="24"/>
          <w:szCs w:val="24"/>
          <w:shd w:val="clear" w:color="auto" w:fill="FFFFFF"/>
        </w:rPr>
        <w:t xml:space="preserve">Nanoparticles were dispersed in </w:t>
      </w:r>
      <w:proofErr w:type="gramStart"/>
      <w:r w:rsidRPr="00030AAD">
        <w:rPr>
          <w:rFonts w:ascii="Times New Roman" w:hAnsi="Times New Roman" w:cs="Times New Roman"/>
          <w:color w:val="000000"/>
          <w:sz w:val="24"/>
          <w:szCs w:val="24"/>
          <w:shd w:val="clear" w:color="auto" w:fill="FFFFFF"/>
        </w:rPr>
        <w:t>methanol,</w:t>
      </w:r>
      <w:proofErr w:type="gramEnd"/>
      <w:r w:rsidRPr="00030AAD">
        <w:rPr>
          <w:rFonts w:ascii="Times New Roman" w:hAnsi="Times New Roman" w:cs="Times New Roman"/>
          <w:color w:val="000000"/>
          <w:sz w:val="24"/>
          <w:szCs w:val="24"/>
          <w:shd w:val="clear" w:color="auto" w:fill="FFFFFF"/>
        </w:rPr>
        <w:t xml:space="preserve"> the mixture was then pipetted onto scanning electron microscopy (SEM) sample stubs and the methanol was allowed to evaporate before being coated with carbon. Nanoparticles were characterized using a Zeiss EVO 50 scanning electron microscope operating in low-vacuum mode at an acceleration voltage of 15.0 </w:t>
      </w:r>
      <w:proofErr w:type="spellStart"/>
      <w:r w:rsidRPr="00030AAD">
        <w:rPr>
          <w:rFonts w:ascii="Times New Roman" w:hAnsi="Times New Roman" w:cs="Times New Roman"/>
          <w:color w:val="000000"/>
          <w:sz w:val="24"/>
          <w:szCs w:val="24"/>
          <w:shd w:val="clear" w:color="auto" w:fill="FFFFFF"/>
        </w:rPr>
        <w:t>keV</w:t>
      </w:r>
      <w:proofErr w:type="spellEnd"/>
      <w:r w:rsidRPr="00030AAD">
        <w:rPr>
          <w:rFonts w:ascii="Times New Roman" w:hAnsi="Times New Roman" w:cs="Times New Roman"/>
          <w:color w:val="000000"/>
          <w:sz w:val="24"/>
          <w:szCs w:val="24"/>
          <w:shd w:val="clear" w:color="auto" w:fill="FFFFFF"/>
        </w:rPr>
        <w:t xml:space="preserve"> using the backscatter detector. Nanoparticle diameters were measured using ImageJ software, 100 measurements were taken of individual particles and reported as the average.</w:t>
      </w:r>
    </w:p>
    <w:p w14:paraId="76595727" w14:textId="7866D4C7" w:rsidR="002159C3" w:rsidRPr="00030AAD" w:rsidRDefault="002159C3" w:rsidP="002159C3">
      <w:pPr>
        <w:tabs>
          <w:tab w:val="left" w:pos="180"/>
        </w:tabs>
        <w:autoSpaceDE w:val="0"/>
        <w:autoSpaceDN w:val="0"/>
        <w:adjustRightInd w:val="0"/>
        <w:rPr>
          <w:rFonts w:ascii="Times New Roman" w:eastAsia="Times New Roman" w:hAnsi="Times New Roman" w:cs="Times New Roman"/>
          <w:b/>
          <w:bCs/>
          <w:sz w:val="24"/>
          <w:szCs w:val="24"/>
        </w:rPr>
      </w:pPr>
      <w:r w:rsidRPr="00030AAD">
        <w:rPr>
          <w:rFonts w:ascii="Times New Roman" w:eastAsia="Times New Roman" w:hAnsi="Times New Roman" w:cs="Times New Roman"/>
          <w:i/>
          <w:iCs/>
          <w:sz w:val="24"/>
          <w:szCs w:val="24"/>
        </w:rPr>
        <w:t>Sustained Release:</w:t>
      </w:r>
      <w:r w:rsidRPr="00030AAD">
        <w:rPr>
          <w:rFonts w:ascii="Times New Roman" w:eastAsia="Times New Roman" w:hAnsi="Times New Roman" w:cs="Times New Roman"/>
          <w:sz w:val="24"/>
          <w:szCs w:val="24"/>
        </w:rPr>
        <w:t xml:space="preserve"> Simvastatin release over time was measured using an ultraviolet spectrophotometer at 247.2nm </w:t>
      </w:r>
      <w:r w:rsidRPr="00030AAD">
        <w:rPr>
          <w:rFonts w:ascii="Times New Roman" w:eastAsia="Times New Roman" w:hAnsi="Times New Roman" w:cs="Times New Roman"/>
          <w:b/>
          <w:bCs/>
          <w:sz w:val="24"/>
          <w:szCs w:val="24"/>
        </w:rPr>
        <w:t>(Figure 1</w:t>
      </w:r>
      <w:r w:rsidR="00704A14">
        <w:rPr>
          <w:rFonts w:ascii="Times New Roman" w:eastAsia="Times New Roman" w:hAnsi="Times New Roman" w:cs="Times New Roman"/>
          <w:b/>
          <w:bCs/>
          <w:sz w:val="24"/>
          <w:szCs w:val="24"/>
        </w:rPr>
        <w:t>a</w:t>
      </w:r>
      <w:r w:rsidRPr="00030AAD">
        <w:rPr>
          <w:rFonts w:ascii="Times New Roman" w:eastAsia="Times New Roman" w:hAnsi="Times New Roman" w:cs="Times New Roman"/>
          <w:sz w:val="24"/>
          <w:szCs w:val="24"/>
        </w:rPr>
        <w:t xml:space="preserve">). The wavelength was chosen because PLGA, phosphate buffered saline (PBS), and ethanol did not interfere with the </w:t>
      </w:r>
      <w:proofErr w:type="spellStart"/>
      <w:r w:rsidRPr="00030AAD">
        <w:rPr>
          <w:rFonts w:ascii="Times New Roman" w:eastAsia="Times New Roman" w:hAnsi="Times New Roman" w:cs="Times New Roman"/>
          <w:sz w:val="24"/>
          <w:szCs w:val="24"/>
        </w:rPr>
        <w:t>abosrbance</w:t>
      </w:r>
      <w:proofErr w:type="spellEnd"/>
      <w:r w:rsidRPr="00030AAD">
        <w:rPr>
          <w:rFonts w:ascii="Times New Roman" w:eastAsia="Times New Roman" w:hAnsi="Times New Roman" w:cs="Times New Roman"/>
          <w:sz w:val="24"/>
          <w:szCs w:val="24"/>
        </w:rPr>
        <w:t xml:space="preserve"> at 247.2nm. Simvastatin in ethanol and PBS was used as a standard ranging from 5-</w:t>
      </w:r>
      <w:r w:rsidR="00046515">
        <w:rPr>
          <w:rFonts w:ascii="Times New Roman" w:eastAsia="Times New Roman" w:hAnsi="Times New Roman" w:cs="Times New Roman"/>
          <w:sz w:val="24"/>
          <w:szCs w:val="24"/>
        </w:rPr>
        <w:t>10</w:t>
      </w:r>
      <w:r w:rsidRPr="00030AAD">
        <w:rPr>
          <w:rFonts w:ascii="Times New Roman" w:eastAsia="Times New Roman" w:hAnsi="Times New Roman" w:cs="Times New Roman"/>
          <w:sz w:val="24"/>
          <w:szCs w:val="24"/>
        </w:rPr>
        <w:t>0uM (</w:t>
      </w:r>
      <w:r w:rsidRPr="00030AAD">
        <w:rPr>
          <w:rFonts w:ascii="Times New Roman" w:eastAsia="Times New Roman" w:hAnsi="Times New Roman" w:cs="Times New Roman"/>
          <w:b/>
          <w:bCs/>
          <w:sz w:val="24"/>
          <w:szCs w:val="24"/>
        </w:rPr>
        <w:t xml:space="preserve">Figure </w:t>
      </w:r>
      <w:r w:rsidR="00704A14">
        <w:rPr>
          <w:rFonts w:ascii="Times New Roman" w:eastAsia="Times New Roman" w:hAnsi="Times New Roman" w:cs="Times New Roman"/>
          <w:b/>
          <w:bCs/>
          <w:sz w:val="24"/>
          <w:szCs w:val="24"/>
        </w:rPr>
        <w:t>1b</w:t>
      </w:r>
      <w:r w:rsidRPr="00030AAD">
        <w:rPr>
          <w:rFonts w:ascii="Times New Roman" w:eastAsia="Times New Roman" w:hAnsi="Times New Roman" w:cs="Times New Roman"/>
          <w:sz w:val="24"/>
          <w:szCs w:val="24"/>
        </w:rPr>
        <w:t xml:space="preserve">).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ranging from 217ug/mL to 1667ug/mL, was placed in 15mL of PBS at 37° C with agitation. Aliquots (0.5mL) were removed at each timepoint to measure simvastatin concentration. </w:t>
      </w:r>
    </w:p>
    <w:p w14:paraId="01123AA5" w14:textId="680CA73D" w:rsidR="00AB13D3" w:rsidRPr="005F5A7A" w:rsidRDefault="00773B66" w:rsidP="2CC57DB6">
      <w:pPr>
        <w:tabs>
          <w:tab w:val="left" w:pos="180"/>
        </w:tabs>
        <w:autoSpaceDE w:val="0"/>
        <w:autoSpaceDN w:val="0"/>
        <w:adjustRightInd w:val="0"/>
        <w:rPr>
          <w:rFonts w:ascii="Times New Roman" w:eastAsia="Times New Roman" w:hAnsi="Times New Roman" w:cs="Times New Roman"/>
          <w:b/>
          <w:iCs/>
          <w:sz w:val="24"/>
          <w:szCs w:val="24"/>
        </w:rPr>
      </w:pPr>
      <w:r w:rsidRPr="005F5A7A">
        <w:rPr>
          <w:rFonts w:ascii="Times New Roman" w:eastAsia="Times New Roman" w:hAnsi="Times New Roman" w:cs="Times New Roman"/>
          <w:b/>
          <w:iCs/>
          <w:sz w:val="24"/>
          <w:szCs w:val="24"/>
        </w:rPr>
        <w:t>In Vitro Tests</w:t>
      </w:r>
    </w:p>
    <w:p w14:paraId="44D41CDD" w14:textId="77777777" w:rsidR="002159C3" w:rsidRPr="00030AAD" w:rsidRDefault="002159C3" w:rsidP="002159C3">
      <w:pPr>
        <w:tabs>
          <w:tab w:val="left" w:pos="180"/>
        </w:tabs>
        <w:autoSpaceDE w:val="0"/>
        <w:autoSpaceDN w:val="0"/>
        <w:adjustRightInd w:val="0"/>
        <w:rPr>
          <w:rFonts w:ascii="Times New Roman" w:eastAsia="Times New Roman" w:hAnsi="Times New Roman" w:cs="Times New Roman"/>
          <w:sz w:val="24"/>
          <w:szCs w:val="24"/>
        </w:rPr>
      </w:pPr>
      <w:r w:rsidRPr="00030AAD">
        <w:rPr>
          <w:rFonts w:ascii="Times New Roman" w:eastAsia="Times New Roman" w:hAnsi="Times New Roman" w:cs="Times New Roman"/>
          <w:sz w:val="24"/>
          <w:szCs w:val="24"/>
        </w:rPr>
        <w:t>MC3T3-E1 (ATCC, Manassas, VA) osteoblast precursor cells were cultured in complete or mineralizing media. Complete media consisted of DMEM with 10% fetal bovine serum (FBS) and 1% 100X antibiotic/</w:t>
      </w:r>
      <w:proofErr w:type="spellStart"/>
      <w:r w:rsidRPr="00030AAD">
        <w:rPr>
          <w:rFonts w:ascii="Times New Roman" w:eastAsia="Times New Roman" w:hAnsi="Times New Roman" w:cs="Times New Roman"/>
          <w:sz w:val="24"/>
          <w:szCs w:val="24"/>
        </w:rPr>
        <w:t>antimycotic</w:t>
      </w:r>
      <w:proofErr w:type="spellEnd"/>
      <w:r w:rsidRPr="00030AAD">
        <w:rPr>
          <w:rFonts w:ascii="Times New Roman" w:eastAsia="Times New Roman" w:hAnsi="Times New Roman" w:cs="Times New Roman"/>
          <w:sz w:val="24"/>
          <w:szCs w:val="24"/>
        </w:rPr>
        <w:t xml:space="preserve"> (</w:t>
      </w:r>
      <w:proofErr w:type="spellStart"/>
      <w:r w:rsidRPr="00030AAD">
        <w:rPr>
          <w:rFonts w:ascii="Times New Roman" w:eastAsia="Times New Roman" w:hAnsi="Times New Roman" w:cs="Times New Roman"/>
          <w:sz w:val="24"/>
          <w:szCs w:val="24"/>
        </w:rPr>
        <w:t>ThermoFisher</w:t>
      </w:r>
      <w:proofErr w:type="spellEnd"/>
      <w:r w:rsidRPr="00030AAD">
        <w:rPr>
          <w:rFonts w:ascii="Times New Roman" w:eastAsia="Times New Roman" w:hAnsi="Times New Roman" w:cs="Times New Roman"/>
          <w:sz w:val="24"/>
          <w:szCs w:val="24"/>
        </w:rPr>
        <w:t xml:space="preserve"> Scientific, Waltham, MA). Mineralizing media was complete media with 0.5M beta-glycerol phosphate, 50mM vitamin C and 1nM dexamethasone. </w:t>
      </w:r>
    </w:p>
    <w:p w14:paraId="18642C72" w14:textId="77777777" w:rsidR="002159C3" w:rsidRPr="00030AAD" w:rsidRDefault="002159C3" w:rsidP="002159C3">
      <w:pPr>
        <w:tabs>
          <w:tab w:val="left" w:pos="180"/>
        </w:tabs>
        <w:autoSpaceDE w:val="0"/>
        <w:autoSpaceDN w:val="0"/>
        <w:adjustRightInd w:val="0"/>
        <w:rPr>
          <w:rFonts w:ascii="Times New Roman" w:eastAsia="Times New Roman" w:hAnsi="Times New Roman" w:cs="Times New Roman"/>
          <w:sz w:val="24"/>
          <w:szCs w:val="24"/>
        </w:rPr>
      </w:pPr>
      <w:r w:rsidRPr="00030AAD">
        <w:rPr>
          <w:rFonts w:ascii="Times New Roman" w:eastAsia="Times New Roman" w:hAnsi="Times New Roman" w:cs="Times New Roman"/>
          <w:sz w:val="24"/>
          <w:szCs w:val="24"/>
        </w:rPr>
        <w:t xml:space="preserve">Cell viability assays were performed in a 96-well plate using an </w:t>
      </w:r>
      <w:bookmarkStart w:id="2" w:name="_Hlk478801068"/>
      <w:r w:rsidRPr="00030AAD">
        <w:rPr>
          <w:rFonts w:ascii="Times New Roman" w:eastAsia="Times New Roman" w:hAnsi="Times New Roman" w:cs="Times New Roman"/>
          <w:sz w:val="24"/>
          <w:szCs w:val="24"/>
        </w:rPr>
        <w:t>MTS Cell Proliferation Colorimetric Assay Kit (</w:t>
      </w:r>
      <w:proofErr w:type="spellStart"/>
      <w:r w:rsidRPr="00030AAD">
        <w:rPr>
          <w:rFonts w:ascii="Times New Roman" w:eastAsia="Times New Roman" w:hAnsi="Times New Roman" w:cs="Times New Roman"/>
          <w:sz w:val="24"/>
          <w:szCs w:val="24"/>
        </w:rPr>
        <w:t>BioVision</w:t>
      </w:r>
      <w:proofErr w:type="spellEnd"/>
      <w:r w:rsidRPr="00030AAD">
        <w:rPr>
          <w:rFonts w:ascii="Times New Roman" w:eastAsia="Times New Roman" w:hAnsi="Times New Roman" w:cs="Times New Roman"/>
          <w:sz w:val="24"/>
          <w:szCs w:val="24"/>
        </w:rPr>
        <w:t xml:space="preserve">, Milpitas, CA) with absorbance quantified at 490nm. </w:t>
      </w:r>
      <w:bookmarkEnd w:id="2"/>
      <w:r w:rsidRPr="00030AAD">
        <w:rPr>
          <w:rFonts w:ascii="Times New Roman" w:eastAsia="Times New Roman" w:hAnsi="Times New Roman" w:cs="Times New Roman"/>
          <w:sz w:val="24"/>
          <w:szCs w:val="24"/>
        </w:rPr>
        <w:t xml:space="preserve">SIM drug doses ranged from 1 to 16ug/mL and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doses ranging from 25 to 200ug/</w:t>
      </w:r>
      <w:proofErr w:type="spellStart"/>
      <w:r w:rsidRPr="00030AAD">
        <w:rPr>
          <w:rFonts w:ascii="Times New Roman" w:eastAsia="Times New Roman" w:hAnsi="Times New Roman" w:cs="Times New Roman"/>
          <w:sz w:val="24"/>
          <w:szCs w:val="24"/>
        </w:rPr>
        <w:t>mL.</w:t>
      </w:r>
      <w:proofErr w:type="spellEnd"/>
      <w:r w:rsidRPr="00030AAD">
        <w:rPr>
          <w:rFonts w:ascii="Times New Roman" w:eastAsia="Times New Roman" w:hAnsi="Times New Roman" w:cs="Times New Roman"/>
          <w:sz w:val="24"/>
          <w:szCs w:val="24"/>
        </w:rPr>
        <w:t xml:space="preserve"> </w:t>
      </w:r>
    </w:p>
    <w:p w14:paraId="5609C2F1" w14:textId="7BCAD7EE" w:rsidR="002159C3" w:rsidRPr="00030AAD" w:rsidRDefault="002159C3" w:rsidP="002159C3">
      <w:pPr>
        <w:tabs>
          <w:tab w:val="left" w:pos="180"/>
        </w:tabs>
        <w:autoSpaceDE w:val="0"/>
        <w:autoSpaceDN w:val="0"/>
        <w:adjustRightInd w:val="0"/>
        <w:rPr>
          <w:rFonts w:ascii="Times New Roman" w:hAnsi="Times New Roman" w:cs="Times New Roman"/>
          <w:sz w:val="24"/>
          <w:szCs w:val="24"/>
        </w:rPr>
      </w:pPr>
      <w:r w:rsidRPr="00030AAD">
        <w:rPr>
          <w:rFonts w:ascii="Times New Roman" w:hAnsi="Times New Roman" w:cs="Times New Roman"/>
          <w:sz w:val="24"/>
          <w:szCs w:val="24"/>
        </w:rPr>
        <w:t xml:space="preserve">Deposition of calcium was </w:t>
      </w:r>
      <w:r w:rsidR="0038796A" w:rsidRPr="00030AAD">
        <w:rPr>
          <w:rFonts w:ascii="Times New Roman" w:hAnsi="Times New Roman" w:cs="Times New Roman"/>
          <w:sz w:val="24"/>
          <w:szCs w:val="24"/>
        </w:rPr>
        <w:t xml:space="preserve">measured </w:t>
      </w:r>
      <w:r w:rsidRPr="00030AAD">
        <w:rPr>
          <w:rFonts w:ascii="Times New Roman" w:hAnsi="Times New Roman" w:cs="Times New Roman"/>
          <w:sz w:val="24"/>
          <w:szCs w:val="24"/>
        </w:rPr>
        <w:t xml:space="preserve">using </w:t>
      </w:r>
      <w:r w:rsidR="0006261D" w:rsidRPr="00030AAD">
        <w:rPr>
          <w:rFonts w:ascii="Times New Roman" w:hAnsi="Times New Roman" w:cs="Times New Roman"/>
          <w:sz w:val="24"/>
          <w:szCs w:val="24"/>
        </w:rPr>
        <w:t xml:space="preserve">an </w:t>
      </w:r>
      <w:r w:rsidRPr="00030AAD">
        <w:rPr>
          <w:rFonts w:ascii="Times New Roman" w:hAnsi="Times New Roman" w:cs="Times New Roman"/>
          <w:sz w:val="24"/>
          <w:szCs w:val="24"/>
        </w:rPr>
        <w:t xml:space="preserve">alizarin stain at 1 and 3 weeks. Cells were cultured in one of the following conditions: (1) complete media (COMP), (2) mineralizing media (MIN), (3) MIN plus 88 </w:t>
      </w:r>
      <w:proofErr w:type="spellStart"/>
      <w:r w:rsidRPr="00030AAD">
        <w:rPr>
          <w:rFonts w:ascii="Times New Roman" w:hAnsi="Times New Roman" w:cs="Times New Roman"/>
          <w:sz w:val="24"/>
          <w:szCs w:val="24"/>
        </w:rPr>
        <w:t>ug</w:t>
      </w:r>
      <w:proofErr w:type="spellEnd"/>
      <w:r w:rsidRPr="00030AAD">
        <w:rPr>
          <w:rFonts w:ascii="Times New Roman" w:hAnsi="Times New Roman" w:cs="Times New Roman"/>
          <w:sz w:val="24"/>
          <w:szCs w:val="24"/>
        </w:rPr>
        <w:t xml:space="preserve">/mL </w:t>
      </w:r>
      <w:proofErr w:type="spellStart"/>
      <w:r w:rsidRPr="00030AAD">
        <w:rPr>
          <w:rFonts w:ascii="Times New Roman" w:hAnsi="Times New Roman" w:cs="Times New Roman"/>
          <w:sz w:val="24"/>
          <w:szCs w:val="24"/>
        </w:rPr>
        <w:t>SimNP</w:t>
      </w:r>
      <w:proofErr w:type="spellEnd"/>
      <w:r w:rsidRPr="00030AAD">
        <w:rPr>
          <w:rFonts w:ascii="Times New Roman" w:hAnsi="Times New Roman" w:cs="Times New Roman"/>
          <w:sz w:val="24"/>
          <w:szCs w:val="24"/>
        </w:rPr>
        <w:t xml:space="preserve">, (4) MIN plus 166ug/mL </w:t>
      </w:r>
      <w:proofErr w:type="spellStart"/>
      <w:r w:rsidRPr="00030AAD">
        <w:rPr>
          <w:rFonts w:ascii="Times New Roman" w:hAnsi="Times New Roman" w:cs="Times New Roman"/>
          <w:sz w:val="24"/>
          <w:szCs w:val="24"/>
        </w:rPr>
        <w:t>SimNP</w:t>
      </w:r>
      <w:proofErr w:type="spellEnd"/>
      <w:r w:rsidRPr="00030AAD">
        <w:rPr>
          <w:rFonts w:ascii="Times New Roman" w:hAnsi="Times New Roman" w:cs="Times New Roman"/>
          <w:sz w:val="24"/>
          <w:szCs w:val="24"/>
        </w:rPr>
        <w:t xml:space="preserve">, (5) MIN plus 8ug/mL SIM and (6) MIN plus 16ug/mL SIM. </w:t>
      </w:r>
      <w:r w:rsidR="0038796A" w:rsidRPr="00030AAD">
        <w:rPr>
          <w:rFonts w:ascii="Times New Roman" w:hAnsi="Times New Roman" w:cs="Times New Roman"/>
          <w:sz w:val="24"/>
          <w:szCs w:val="24"/>
        </w:rPr>
        <w:t xml:space="preserve">After 1 or 3 weeks, the culture medium was removed from each well and gently washed 3 times with 1x PBS. The cells were then fixed in </w:t>
      </w:r>
      <w:r w:rsidR="00E16C17" w:rsidRPr="00030AAD">
        <w:rPr>
          <w:rFonts w:ascii="Times New Roman" w:hAnsi="Times New Roman" w:cs="Times New Roman"/>
          <w:sz w:val="24"/>
          <w:szCs w:val="24"/>
        </w:rPr>
        <w:t>10</w:t>
      </w:r>
      <w:r w:rsidR="0038796A" w:rsidRPr="00030AAD">
        <w:rPr>
          <w:rFonts w:ascii="Times New Roman" w:hAnsi="Times New Roman" w:cs="Times New Roman"/>
          <w:sz w:val="24"/>
          <w:szCs w:val="24"/>
        </w:rPr>
        <w:t xml:space="preserve">% </w:t>
      </w:r>
      <w:r w:rsidR="00E16C17" w:rsidRPr="00030AAD">
        <w:rPr>
          <w:rFonts w:ascii="Times New Roman" w:hAnsi="Times New Roman" w:cs="Times New Roman"/>
          <w:sz w:val="24"/>
          <w:szCs w:val="24"/>
        </w:rPr>
        <w:t>buffered formalin</w:t>
      </w:r>
      <w:r w:rsidR="0038796A" w:rsidRPr="00030AAD">
        <w:rPr>
          <w:rFonts w:ascii="Times New Roman" w:hAnsi="Times New Roman" w:cs="Times New Roman"/>
          <w:sz w:val="24"/>
          <w:szCs w:val="24"/>
        </w:rPr>
        <w:t xml:space="preserve"> </w:t>
      </w:r>
      <w:r w:rsidR="0038796A" w:rsidRPr="00030AAD">
        <w:rPr>
          <w:rFonts w:ascii="Times New Roman" w:hAnsi="Times New Roman" w:cs="Times New Roman"/>
          <w:sz w:val="24"/>
          <w:szCs w:val="24"/>
        </w:rPr>
        <w:lastRenderedPageBreak/>
        <w:t>for 15 minutes at room temperature. The fixative was then removed using 3 washes with diH</w:t>
      </w:r>
      <w:r w:rsidR="0038796A" w:rsidRPr="00030AAD">
        <w:rPr>
          <w:rFonts w:ascii="Times New Roman" w:hAnsi="Times New Roman" w:cs="Times New Roman"/>
          <w:sz w:val="24"/>
          <w:szCs w:val="24"/>
          <w:vertAlign w:val="subscript"/>
        </w:rPr>
        <w:t>2</w:t>
      </w:r>
      <w:r w:rsidR="0038796A" w:rsidRPr="00030AAD">
        <w:rPr>
          <w:rFonts w:ascii="Times New Roman" w:hAnsi="Times New Roman" w:cs="Times New Roman"/>
          <w:sz w:val="24"/>
          <w:szCs w:val="24"/>
        </w:rPr>
        <w:t>0. The diH</w:t>
      </w:r>
      <w:r w:rsidR="0038796A" w:rsidRPr="00030AAD">
        <w:rPr>
          <w:rFonts w:ascii="Times New Roman" w:hAnsi="Times New Roman" w:cs="Times New Roman"/>
          <w:sz w:val="24"/>
          <w:szCs w:val="24"/>
          <w:vertAlign w:val="subscript"/>
        </w:rPr>
        <w:t>2</w:t>
      </w:r>
      <w:r w:rsidR="0038796A" w:rsidRPr="00030AAD">
        <w:rPr>
          <w:rFonts w:ascii="Times New Roman" w:hAnsi="Times New Roman" w:cs="Times New Roman"/>
          <w:sz w:val="24"/>
          <w:szCs w:val="24"/>
        </w:rPr>
        <w:t xml:space="preserve">0 was removed and </w:t>
      </w:r>
      <w:r w:rsidR="0006261D" w:rsidRPr="00030AAD">
        <w:rPr>
          <w:rFonts w:ascii="Times New Roman" w:hAnsi="Times New Roman" w:cs="Times New Roman"/>
          <w:sz w:val="24"/>
          <w:szCs w:val="24"/>
        </w:rPr>
        <w:t xml:space="preserve">1 mL of 40mM </w:t>
      </w:r>
      <w:r w:rsidR="0038796A" w:rsidRPr="00030AAD">
        <w:rPr>
          <w:rFonts w:ascii="Times New Roman" w:hAnsi="Times New Roman" w:cs="Times New Roman"/>
          <w:sz w:val="24"/>
          <w:szCs w:val="24"/>
        </w:rPr>
        <w:t>alizarin red st</w:t>
      </w:r>
      <w:r w:rsidR="0006261D" w:rsidRPr="00030AAD">
        <w:rPr>
          <w:rFonts w:ascii="Times New Roman" w:hAnsi="Times New Roman" w:cs="Times New Roman"/>
          <w:sz w:val="24"/>
          <w:szCs w:val="24"/>
        </w:rPr>
        <w:t xml:space="preserve">ain was then added to each well. The </w:t>
      </w:r>
      <w:r w:rsidR="0038796A" w:rsidRPr="00030AAD">
        <w:rPr>
          <w:rFonts w:ascii="Times New Roman" w:hAnsi="Times New Roman" w:cs="Times New Roman"/>
          <w:sz w:val="24"/>
          <w:szCs w:val="24"/>
        </w:rPr>
        <w:t>plates were</w:t>
      </w:r>
      <w:r w:rsidR="0006261D" w:rsidRPr="00030AAD">
        <w:rPr>
          <w:rFonts w:ascii="Times New Roman" w:hAnsi="Times New Roman" w:cs="Times New Roman"/>
          <w:sz w:val="24"/>
          <w:szCs w:val="24"/>
        </w:rPr>
        <w:t xml:space="preserve"> then</w:t>
      </w:r>
      <w:r w:rsidR="0038796A" w:rsidRPr="00030AAD">
        <w:rPr>
          <w:rFonts w:ascii="Times New Roman" w:hAnsi="Times New Roman" w:cs="Times New Roman"/>
          <w:sz w:val="24"/>
          <w:szCs w:val="24"/>
        </w:rPr>
        <w:t xml:space="preserve"> incubated at roo</w:t>
      </w:r>
      <w:r w:rsidR="0006261D" w:rsidRPr="00030AAD">
        <w:rPr>
          <w:rFonts w:ascii="Times New Roman" w:hAnsi="Times New Roman" w:cs="Times New Roman"/>
          <w:sz w:val="24"/>
          <w:szCs w:val="24"/>
        </w:rPr>
        <w:t>m temperature for 20-30 minutes and washed again with diH</w:t>
      </w:r>
      <w:r w:rsidR="0006261D" w:rsidRPr="00030AAD">
        <w:rPr>
          <w:rFonts w:ascii="Times New Roman" w:hAnsi="Times New Roman" w:cs="Times New Roman"/>
          <w:sz w:val="24"/>
          <w:szCs w:val="24"/>
          <w:vertAlign w:val="subscript"/>
        </w:rPr>
        <w:t>2</w:t>
      </w:r>
      <w:r w:rsidR="0006261D" w:rsidRPr="00030AAD">
        <w:rPr>
          <w:rFonts w:ascii="Times New Roman" w:hAnsi="Times New Roman" w:cs="Times New Roman"/>
          <w:sz w:val="24"/>
          <w:szCs w:val="24"/>
        </w:rPr>
        <w:t xml:space="preserve">0 to remove all dye. Images were then taken using a digital camera to provide a qualitative measure of calcium deposition. </w:t>
      </w:r>
    </w:p>
    <w:p w14:paraId="4F8873DD" w14:textId="7ACF1896" w:rsidR="002159C3" w:rsidRPr="00030AAD" w:rsidRDefault="002159C3" w:rsidP="002159C3">
      <w:pPr>
        <w:tabs>
          <w:tab w:val="left" w:pos="180"/>
        </w:tabs>
        <w:autoSpaceDE w:val="0"/>
        <w:autoSpaceDN w:val="0"/>
        <w:adjustRightInd w:val="0"/>
        <w:rPr>
          <w:rFonts w:ascii="Times New Roman" w:eastAsia="Times New Roman" w:hAnsi="Times New Roman" w:cs="Times New Roman"/>
          <w:sz w:val="24"/>
          <w:szCs w:val="24"/>
        </w:rPr>
      </w:pPr>
      <w:r w:rsidRPr="00030AAD">
        <w:rPr>
          <w:rFonts w:ascii="Times New Roman" w:eastAsia="Times New Roman" w:hAnsi="Times New Roman" w:cs="Times New Roman"/>
          <w:sz w:val="24"/>
          <w:szCs w:val="24"/>
        </w:rPr>
        <w:t xml:space="preserve">Cells were cultured for 7 or 14 days in one of the following conditions: (1) MIN, (2) MIN plus 4ug/mL SIM, (3) MIN plus 8ug/mL SIM, (4) MIN plus 100ug/mL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and (5</w:t>
      </w:r>
      <w:proofErr w:type="gramStart"/>
      <w:r w:rsidRPr="00030AAD">
        <w:rPr>
          <w:rFonts w:ascii="Times New Roman" w:eastAsia="Times New Roman" w:hAnsi="Times New Roman" w:cs="Times New Roman"/>
          <w:sz w:val="24"/>
          <w:szCs w:val="24"/>
        </w:rPr>
        <w:t>)  MIN</w:t>
      </w:r>
      <w:proofErr w:type="gramEnd"/>
      <w:r w:rsidRPr="00030AAD">
        <w:rPr>
          <w:rFonts w:ascii="Times New Roman" w:eastAsia="Times New Roman" w:hAnsi="Times New Roman" w:cs="Times New Roman"/>
          <w:sz w:val="24"/>
          <w:szCs w:val="24"/>
        </w:rPr>
        <w:t xml:space="preserve"> plus 200 </w:t>
      </w:r>
      <w:proofErr w:type="spellStart"/>
      <w:r w:rsidRPr="00030AAD">
        <w:rPr>
          <w:rFonts w:ascii="Times New Roman" w:eastAsia="Times New Roman" w:hAnsi="Times New Roman" w:cs="Times New Roman"/>
          <w:sz w:val="24"/>
          <w:szCs w:val="24"/>
        </w:rPr>
        <w:t>ug</w:t>
      </w:r>
      <w:proofErr w:type="spellEnd"/>
      <w:r w:rsidRPr="00030AAD">
        <w:rPr>
          <w:rFonts w:ascii="Times New Roman" w:eastAsia="Times New Roman" w:hAnsi="Times New Roman" w:cs="Times New Roman"/>
          <w:sz w:val="24"/>
          <w:szCs w:val="24"/>
        </w:rPr>
        <w:t xml:space="preserve">/mL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Total cellular mRNA was extracted at 7 and 14 days. Osteoblast differentiation and bone formation was quantified using a real-time PCR system to measure expression of osteocalcin (OCN) and </w:t>
      </w:r>
      <w:proofErr w:type="spellStart"/>
      <w:r w:rsidRPr="00030AAD">
        <w:rPr>
          <w:rFonts w:ascii="Times New Roman" w:eastAsia="Times New Roman" w:hAnsi="Times New Roman" w:cs="Times New Roman"/>
          <w:sz w:val="24"/>
          <w:szCs w:val="24"/>
        </w:rPr>
        <w:t>osteopont</w:t>
      </w:r>
      <w:r w:rsidRPr="00030AAD">
        <w:rPr>
          <w:rFonts w:ascii="Times New Roman" w:eastAsia="Times New Roman" w:hAnsi="Times New Roman" w:cs="Times New Roman"/>
          <w:sz w:val="24"/>
          <w:szCs w:val="24"/>
        </w:rPr>
        <w:t>in</w:t>
      </w:r>
      <w:proofErr w:type="spellEnd"/>
      <w:r w:rsidRPr="00030AAD">
        <w:rPr>
          <w:rFonts w:ascii="Times New Roman" w:eastAsia="Times New Roman" w:hAnsi="Times New Roman" w:cs="Times New Roman"/>
          <w:sz w:val="24"/>
          <w:szCs w:val="24"/>
        </w:rPr>
        <w:t xml:space="preserve"> (OPN) with specific primers. </w:t>
      </w:r>
      <w:r w:rsidRPr="00030AAD">
        <w:rPr>
          <w:rFonts w:ascii="Times New Roman" w:eastAsia="Times New Roman" w:hAnsi="Times New Roman" w:cs="Times New Roman"/>
          <w:sz w:val="24"/>
          <w:szCs w:val="24"/>
        </w:rPr>
        <w:t>The primers were</w:t>
      </w:r>
      <w:r w:rsidRPr="00030AAD">
        <w:rPr>
          <w:rFonts w:ascii="Times New Roman" w:eastAsia="Times New Roman" w:hAnsi="Times New Roman" w:cs="Times New Roman"/>
          <w:sz w:val="24"/>
          <w:szCs w:val="24"/>
        </w:rPr>
        <w:t xml:space="preserve"> </w:t>
      </w:r>
      <w:r w:rsidRPr="00030AAD">
        <w:rPr>
          <w:rFonts w:ascii="Times New Roman" w:eastAsia="Times New Roman" w:hAnsi="Times New Roman" w:cs="Times New Roman"/>
          <w:sz w:val="24"/>
          <w:szCs w:val="24"/>
        </w:rPr>
        <w:t xml:space="preserve">designed as follows: OCN forward </w:t>
      </w:r>
      <w:r w:rsidR="00BA1B70" w:rsidRPr="00030AAD">
        <w:rPr>
          <w:rFonts w:ascii="Times New Roman" w:eastAsia="Times New Roman" w:hAnsi="Times New Roman" w:cs="Times New Roman"/>
          <w:sz w:val="24"/>
          <w:szCs w:val="24"/>
        </w:rPr>
        <w:t>5’-</w:t>
      </w:r>
      <w:r w:rsidRPr="00030AAD">
        <w:rPr>
          <w:rFonts w:ascii="Times New Roman" w:eastAsia="Times New Roman" w:hAnsi="Times New Roman" w:cs="Times New Roman"/>
          <w:sz w:val="24"/>
          <w:szCs w:val="24"/>
        </w:rPr>
        <w:t>AAGCAGGAGGGCAA</w:t>
      </w:r>
      <w:r w:rsidR="00BA1B70" w:rsidRPr="00030AAD">
        <w:rPr>
          <w:rFonts w:ascii="Times New Roman" w:eastAsia="Times New Roman" w:hAnsi="Times New Roman" w:cs="Times New Roman"/>
          <w:sz w:val="24"/>
          <w:szCs w:val="24"/>
        </w:rPr>
        <w:t xml:space="preserve">TAAGGT- 3’ and reverse 5’- GAGATTTGCTTTTGCCTGTTTG- 3’; OPN forward 5’-AGCTGCAAGAGACACCCTTTG-3’ </w:t>
      </w:r>
      <w:r w:rsidRPr="00030AAD">
        <w:rPr>
          <w:rFonts w:ascii="Times New Roman" w:eastAsia="Times New Roman" w:hAnsi="Times New Roman" w:cs="Times New Roman"/>
          <w:sz w:val="24"/>
          <w:szCs w:val="24"/>
        </w:rPr>
        <w:t>and reverse</w:t>
      </w:r>
      <w:r w:rsidR="00BA1B70" w:rsidRPr="00030AAD">
        <w:rPr>
          <w:rFonts w:ascii="Times New Roman" w:eastAsia="Times New Roman" w:hAnsi="Times New Roman" w:cs="Times New Roman"/>
          <w:sz w:val="24"/>
          <w:szCs w:val="24"/>
        </w:rPr>
        <w:t xml:space="preserve"> 5’- TGAGCTGCCAGAATCAGTCACT-3’.</w:t>
      </w:r>
    </w:p>
    <w:p w14:paraId="1F706A51" w14:textId="0B982275" w:rsidR="00006DA2" w:rsidRPr="005F5A7A" w:rsidRDefault="005B4C5E" w:rsidP="005B4C5E">
      <w:pPr>
        <w:tabs>
          <w:tab w:val="left" w:pos="180"/>
        </w:tabs>
        <w:autoSpaceDE w:val="0"/>
        <w:autoSpaceDN w:val="0"/>
        <w:adjustRightInd w:val="0"/>
        <w:rPr>
          <w:rFonts w:ascii="Times New Roman" w:hAnsi="Times New Roman" w:cs="Times New Roman"/>
          <w:b/>
          <w:sz w:val="24"/>
          <w:szCs w:val="24"/>
        </w:rPr>
      </w:pPr>
      <w:r w:rsidRPr="005F5A7A">
        <w:rPr>
          <w:rFonts w:ascii="Times New Roman" w:hAnsi="Times New Roman" w:cs="Times New Roman"/>
          <w:b/>
          <w:sz w:val="24"/>
          <w:szCs w:val="24"/>
        </w:rPr>
        <w:t xml:space="preserve">In Vivo </w:t>
      </w:r>
      <w:r w:rsidR="00773B66" w:rsidRPr="005F5A7A">
        <w:rPr>
          <w:rFonts w:ascii="Times New Roman" w:hAnsi="Times New Roman" w:cs="Times New Roman"/>
          <w:b/>
          <w:sz w:val="24"/>
          <w:szCs w:val="24"/>
        </w:rPr>
        <w:t>Tests</w:t>
      </w:r>
    </w:p>
    <w:p w14:paraId="79B26510" w14:textId="59C32874" w:rsidR="2CC57DB6" w:rsidRPr="00030AAD" w:rsidRDefault="2CC57DB6" w:rsidP="2CC57DB6">
      <w:pPr>
        <w:rPr>
          <w:rFonts w:ascii="Times New Roman" w:eastAsia="Times New Roman" w:hAnsi="Times New Roman" w:cs="Times New Roman"/>
          <w:sz w:val="24"/>
          <w:szCs w:val="24"/>
        </w:rPr>
      </w:pPr>
      <w:r w:rsidRPr="00030AAD">
        <w:rPr>
          <w:rFonts w:ascii="Times New Roman" w:eastAsia="Times New Roman" w:hAnsi="Times New Roman" w:cs="Times New Roman"/>
          <w:sz w:val="24"/>
          <w:szCs w:val="24"/>
        </w:rPr>
        <w:t xml:space="preserve">A model of posterior spinal fusion was utilized in 40 </w:t>
      </w:r>
      <w:proofErr w:type="gramStart"/>
      <w:r w:rsidRPr="00030AAD">
        <w:rPr>
          <w:rFonts w:ascii="Times New Roman" w:eastAsia="Times New Roman" w:hAnsi="Times New Roman" w:cs="Times New Roman"/>
          <w:sz w:val="24"/>
          <w:szCs w:val="24"/>
        </w:rPr>
        <w:t>male</w:t>
      </w:r>
      <w:proofErr w:type="gramEnd"/>
      <w:r w:rsidRPr="00030AAD">
        <w:rPr>
          <w:rFonts w:ascii="Times New Roman" w:eastAsia="Times New Roman" w:hAnsi="Times New Roman" w:cs="Times New Roman"/>
          <w:sz w:val="24"/>
          <w:szCs w:val="24"/>
        </w:rPr>
        <w:t xml:space="preserve"> 12 week old outbred Wistar rats. Briefly, a midline posterior skin incision was followed by two separate paramedian fascial incisions to expose the transverse processes (TP) of L4 and L5. The TP were decorticated. </w:t>
      </w:r>
      <w:proofErr w:type="spellStart"/>
      <w:r w:rsidRPr="00030AAD">
        <w:rPr>
          <w:rFonts w:ascii="Times New Roman" w:eastAsia="Times New Roman" w:hAnsi="Times New Roman" w:cs="Times New Roman"/>
          <w:sz w:val="24"/>
          <w:szCs w:val="24"/>
        </w:rPr>
        <w:t>Corticocancellous</w:t>
      </w:r>
      <w:proofErr w:type="spellEnd"/>
      <w:r w:rsidRPr="00030AAD">
        <w:rPr>
          <w:rFonts w:ascii="Times New Roman" w:eastAsia="Times New Roman" w:hAnsi="Times New Roman" w:cs="Times New Roman"/>
          <w:sz w:val="24"/>
          <w:szCs w:val="24"/>
        </w:rPr>
        <w:t xml:space="preserve"> bone was harvested from each iliac wing, morselized and implanted bilaterally with one of three treatments (</w:t>
      </w:r>
      <w:proofErr w:type="spellStart"/>
      <w:r w:rsidRPr="00030AAD">
        <w:rPr>
          <w:rFonts w:ascii="Times New Roman" w:eastAsia="Times New Roman" w:hAnsi="Times New Roman" w:cs="Times New Roman"/>
          <w:sz w:val="24"/>
          <w:szCs w:val="24"/>
        </w:rPr>
        <w:t>BlankNP</w:t>
      </w:r>
      <w:proofErr w:type="spellEnd"/>
      <w:r w:rsidRPr="00030AAD">
        <w:rPr>
          <w:rFonts w:ascii="Times New Roman" w:eastAsia="Times New Roman" w:hAnsi="Times New Roman" w:cs="Times New Roman"/>
          <w:sz w:val="24"/>
          <w:szCs w:val="24"/>
        </w:rPr>
        <w:t xml:space="preserve">,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or SIM only) to bridge the L4 and L5 TP. Treatments were assigned randomly using a random number generator. The groups were as follows: Blank NP (15 rats),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(15 rats) or SIM drug (10 rats). Dosing of each treatment arm was as follows: 100-200mg/kg </w:t>
      </w:r>
      <w:proofErr w:type="spellStart"/>
      <w:r w:rsidRPr="00030AAD">
        <w:rPr>
          <w:rFonts w:ascii="Times New Roman" w:eastAsia="Times New Roman" w:hAnsi="Times New Roman" w:cs="Times New Roman"/>
          <w:sz w:val="24"/>
          <w:szCs w:val="24"/>
        </w:rPr>
        <w:t>BlankNP</w:t>
      </w:r>
      <w:proofErr w:type="spellEnd"/>
      <w:r w:rsidRPr="00030AAD">
        <w:rPr>
          <w:rFonts w:ascii="Times New Roman" w:eastAsia="Times New Roman" w:hAnsi="Times New Roman" w:cs="Times New Roman"/>
          <w:sz w:val="24"/>
          <w:szCs w:val="24"/>
        </w:rPr>
        <w:t xml:space="preserve">, 100-200mg/kg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and 10-20mg/kg SIM drug. Dosing for SIM drug was based on the prior literature</w:t>
      </w:r>
      <w:r w:rsidR="00117947" w:rsidRPr="00030AAD">
        <w:rPr>
          <w:rFonts w:ascii="Times New Roman" w:eastAsia="Times New Roman" w:hAnsi="Times New Roman" w:cs="Times New Roman"/>
          <w:sz w:val="24"/>
          <w:szCs w:val="24"/>
        </w:rPr>
        <w:fldChar w:fldCharType="begin" w:fldLock="1"/>
      </w:r>
      <w:r w:rsidR="00302F26">
        <w:rPr>
          <w:rFonts w:ascii="Times New Roman" w:eastAsia="Times New Roman" w:hAnsi="Times New Roman" w:cs="Times New Roman"/>
          <w:sz w:val="24"/>
          <w:szCs w:val="24"/>
        </w:rPr>
        <w:instrText>ADDIN CSL_CITATION { "citationItems" : [ { "id" : "ITEM-1", "itemData" : { "DOI" : "10.2147/IJN.S48694 [doi]", "ISBN" : "1178-2013", "PMID" : "24143094", "abstract" : "Statins are used clinically for reduction of cholesterol synthesis to prevent cardiovascular disease. Previous in vitro and in vivo studies have shown that statins stimulate bone formation. However, orally administered statins may be degraded during first-pass metabolism in the liver. This study aimed to prevent this degradation by developing a locally administered formulation of simvastatin that is encapsulated in poly(lactic-co-glycolic acid)/hydroxyapatite (SIM/PLGA/HAp) microspheres with controlled-release properties. The effect of this formulation of simvastatin on bone repair was tested using a mouse model of gap fracture bridging with a graft of necrotic bone. The simvastatin released over 12 days from 3 mg and 5 mg of SIM/PLGA/HAp was 0.03-1.6 mug/day and 0.05-2.6 mug/day, respectively. SIM/PLGA/HAp significantly stimulated callus formation around the repaired area and increased neovascularization and cell ingrowth in the grafted necrotic bone at week 2 after surgery. At week 4, both 3 mg and 5 mg of SIM/PLGA/HAp increased neovascularization, but only 5 mg SIM/PLGA/HAp enhanced cell ingrowth into the necrotic bone. The low dose of simvastatin released from SIM/PLGA/HAp enhanced initial callus formation, neovascularization, and cell ingrowth in the grafted bone, indicating that SIM/PLGA/HAp facilitates bone regeneration. We suggest that SIM/PLGA/HAp should be developed as an osteoinductive agent to treat osteonecrosis or in combination with an osteoconductive scaffold to treat severe bone defects.", "author" : [ { "dropping-particle" : "", "family" : "Tai", "given" : "I C", "non-dropping-particle" : "", "parse-names" : false, "suffix" : "" }, { "dropping-particle" : "", "family" : "Fu", "given" : "Y C", "non-dropping-particle" : "", "parse-names" : false, "suffix" : "" }, { "dropping-particle" : "", "family" : "Wang", "given" : "C K", "non-dropping-particle" : "", "parse-names" : false, "suffix" : "" }, { "dropping-particle" : "", "family" : "Chang", "given" : "J K", "non-dropping-particle" : "", "parse-names" : false, "suffix" : "" }, { "dropping-particle" : "", "family" : "Ho", "given" : "M L", "non-dropping-particle" : "", "parse-names" : false, "suffix" : "" } ], "container-title" : "International journal of nanomedicine", "id" : "ITEM-1", "issued" : { "date-parts" : [ [ "2013" ] ] }, "note" : "JID: 101263847; 0 (Capsules); 0 (Delayed-Action Preparations); 0 (polylactic acid-polyglycolic acid copolymer); 26009-03-0 (Polyglycolic Acid); 33X04XA5AT (Lactic Acid); 91D9GV0Z28 (Durapatite); AGG2FN16EV (Simvastatin); OID: NLM: PMC3798145; OTO: NOTNLM; 2013 [ecollection]; 2013/10/11 [epublish]; ppublish", "page" : "3895-3904", "title" : "Local delivery of controlled-release simvastatin/PLGA/HAp microspheres enhances bone repair", "type" : "article-journal", "volume" : "8" }, "uris" : [ "http://www.mendeley.com/documents/?uuid=08a4a3a1-48ce-4f25-bdfe-9dbe85b3e782" ] }, { "id" : "ITEM-2", "itemData" : { "DOI" : "10.1590/S0102-86502014000200003 [doi]", "ISBN" : "1678-2674", "PMID" : "24604311", "abstract" : "PURPOSE: To evaluate the effect of a local application of simvastatin gel in repairing bone defects in the femurs of rabbits. METHODS: Two standard surgical cavities were created in the femoral epiphysis of 18 rabbits. In the simvastatin group (SG), the cavities were filled with a collagen sponge soaked in 0.5 ml of a simvastatin (1 mg) gel, and the cavities were covered with a biological membrane. The bone cavities in the second group (control group) were filled with a blood clot and covered with a biological membrane. On the 7th, 21st and 42nd days, six animals in each group were euthanized, and the femurs were subject to histological evaluation (vascularity, fibrosis, reactive bone formation, osteoblasts, and osteoclasts) and immunohistochemical (anti-VEGF and anti-osteocalcin) analysis. The results were analyzed using a Wilcoxon test (p&lt;0.05). RESULTS: There were significant differences between the two groups: the SG had greater scores in comparison with the CG in terms of the degree of vascularity on the 7th and the 21st days, fibrosis on the 21st day, bone formation reaction on the 21st and the 42nd days and the number of osteoblasts and osteoclasts on the 42nd day. The immunohistochemical expression was also greater for osteocalcin and VEGF on the 7th, 21st and 42nd days. CONCLUSION: Surgical defects created in rabbit femurs were treated locally with simvastatin gel to stimulate bone repair, which promoted an ameliorative effect in the morphological and immunohistochemical markers of bone regeneration.", "author" : [ { "dropping-particle" : "", "family" : "Rosselli", "given" : "J E", "non-dropping-particle" : "", "parse-names" : false, "suffix" : "" }, { "dropping-particle" : "", "family" : "Martins", "given" : "D M", "non-dropping-particle" : "", "parse-names" : false, "suffix" : "" }, { "dropping-particle" : "", "family" : "Martins", "given" : "J L", "non-dropping-particle" : "", "parse-names" : false, "suffix" : "" }, { "dropping-particle" : "", "family" : "Oliveira", "given" : "C R", "non-dropping-particle" : "", "parse-names" : false, "suffix" : "" }, { "dropping-particle" : "", "family" : "Fagundes", "given" : "D J", "non-dropping-particle" : "", "parse-names" : false, "suffix" : "" }, { "dropping-particle" : "", "family" : "Taha", "given" : "M O", "non-dropping-particle" : "", "parse-names" : false, "suffix" : "" } ], "container-title" : "Acta cirurgica brasileira / Sociedade Brasileira para Desenvolvimento Pesquisa em Cirurgia", "id" : "ITEM-2", "issue" : "2", "issued" : { "date-parts" : [ [ "2014", "2" ] ] }, "note" : "JID: 9103983; 0 (Gels); 0 (Hydroxymethylglutaryl-CoA Reductase Inhibitors); 0 (Vascular Endothelial Growth Factor A); 104982-03-8 (Osteocalcin); AGG2FN16EV (Simvastatin); 2013/10/15 [received]; 2014/01/20 [accepted]; ppublish", "page" : "87-92", "title" : "The effect of simvastatin on the regeneration of surgical cavities in the femurs of rabbits", "type" : "article-journal", "volume" : "29" }, "uris" : [ "http://www.mendeley.com/documents/?uuid=69e84c21-24f6-4dea-aa1d-b6d475dbc036" ] }, { "id" : "ITEM-3", "itemData" : { "DOI" : "10.1007/s00198-007-0412-2 [doi]", "ISBN" : "0937-941X", "PMID" : "17622479", "abstract" : "Simvastatin solution was injected subcutaneously to the site of fractured tibiae of ovariectomized rats. Afterwards healing quality was evaluated by morphologic, radiographic, biomechanical, histological and histomorphometric methods at 1, 2 and 4 weeks after fracture. Results showed that locally applied simvastatin improved fracture healing. INTRODUCTION: Many studies have documented an anabolic effect of hydroxymethylglutaryl coenzyme A (HMG-CoA) reductase inhibitors, statins, on undisturbed bone. Reports of their effects, however, on fractured skeletal systems have been limited. A study was, therefore, conducted to check the effects of statins on fracture healing. METHODS: Simvastatin (10 mg/kg/day) was injected subcutaneously to tissue overlying the site of fractured tibiae of ovariectomized rats for a treatment period of 5 days. Vehicle reagent was used as a control. Healing quality was evaluated at 1, 2 and 4 weeks after fracture. RESULTS: Compared with that in the vehicle group, the callus cross-section area in simvastatin-treated rats was significantly enlarged by 21.3% (p &lt; 0.05) at 1 week and by 21.5% (p &lt; 0.05) at 2 weeks; new woven bone was relatively substantive and arranged more tightly and regularly at 2 and 4 weeks; and maximal load was increased by 57.5% (p &lt; 0.05) at 2 weeks and by 31.4% (p &lt; 0.05) at 4 weeks. Histomorphometrically, simvastatin was associated with a significant (p &lt; 0.05) increase of mineralization width (MLW), mineralization volume (MLV) and mineral apposition rate (MAR). CONCLUSION: The current study suggests that local application of simvastatin could promote fracture healing in ovariectomized rats.", "author" : [ { "dropping-particle" : "", "family" : "Wang", "given" : "J W", "non-dropping-particle" : "", "parse-names" : false, "suffix" : "" }, { "dropping-particle" : "", "family" : "Xu", "given" : "S W", "non-dropping-particle" : "", "parse-names" : false, "suffix" : "" }, { "dropping-particle" : "", "family" : "Yang", "given" : "D S", "non-dropping-particle" : "", "parse-names" : false, "suffix" : "" }, { "dropping-particle" : "", "family" : "Lv", "given" : "R K", "non-dropping-particle" : "", "parse-names" : false, "suffix" : "" } ], "container-title" : "Osteoporosis international : a journal established as result of cooperation between the European Foundation for Osteoporosis and the National Osteoporosis Foundation of the USA", "id" : "ITEM-3", "issue" : "12", "issued" : { "date-parts" : [ [ "2007", "12" ] ] }, "note" : "LR: 20131121; JID: 9100105; 0 (Hydroxymethylglutaryl-CoA Reductase Inhibitors); 97C5T2UQ7J (Cholesterol); AGG2FN16EV (Simvastatin); EC 3.1.3.1 (Alkaline Phosphatase); CIN: Osteoporos Int. 2008 Nov;19(11):1643; author reply 1645. PMID: 18421543; 2007/01/20 [received]; 2007/05/31 [accepted]; 2007/07/11 [aheadofprint]; ppublish", "page" : "1641-1650", "title" : "Locally applied simvastatin promotes fracture healing in ovariectomized rat", "type" : "article-journal", "volume" : "18" }, "uris" : [ "http://www.mendeley.com/documents/?uuid=4640e21c-36a9-44e4-8d10-b2a65dd069f5" ] }, { "id" : "ITEM-4", "itemData" : { "DOI" : "10.1016/j.jcms.2014.11.011 [doi]", "ISBN" : "1878-4119", "PMID" : "25534041", "abstract" : "Simvastatin (SIM), which is widely used in hyperlipidemia treatment, has also attracted attention due to its anabolic effects on bones. This study is designed to investigate the effectiveness of 2 mg SIM combined with 3 different carriers as delivery systems. Bone defects were surgically created in the femoral bones of 14 New Zealand white rabbits. The carriers used were the inorganic bovine bone graft (BOS), the hydroxyapatite combined with calcium sulfate (HACS), and the collagen sponge (COS). The bone defects were divided for each time period into 7 groups, as follows: passive control group (CONT), active control groups (BOS), (HACS) and (COS) (no simvastatin), and groups (BOS + SIM), (HACS + SIM) (carrier and simvastatin combination). Animal were sacrificed at 4 and 8 weeks postoperatively, and bone defects areas were prepared for histological examination and histomorphometric evaluation. Analysis of variance demonstrated statistically significant differences between groups depending on the carrier used. At 4 weeks, the BOS + SIM group presented higher rates of new bone formation, whereas at 8 weeks more new bone formation was noted for the HACS + SIM group. This study suggests that local application of simvastatin, combined with an appropriate carrier, can promote new bone formation.", "author" : [ { "dropping-particle" : "", "family" : "Papadimitriou", "given" : "K", "non-dropping-particle" : "", "parse-names" : false, "suffix" : "" }, { "dropping-particle" : "", "family" : "Karkavelas", "given" : "G", "non-dropping-particle" : "", "parse-names" : false, "suffix" : "" }, { "dropping-particle" : "", "family" : "Vouros", "given" : "I", "non-dropping-particle" : "", "parse-names" : false, "suffix" : "" }, { "dropping-particle" : "", "family" : "Kessopoulou", "given" : "E", "non-dropping-particle" : "", "parse-names" : false, "suffix" : "" }, { "dropping-particle" : "", "family" : "Konstantinidis", "given" : "A", "non-dropping-particle" : "", "parse-names" : false, "suffix" : "" } ], "container-title" : "Journal of cranio-maxillo-facial surgery : official publication of the European Association for Cranio-Maxillo-Facial Surgery", "id" : "ITEM-4", "issue" : "2", "issued" : { "date-parts" : [ [ "2015", "3" ] ] }, "note" : "CI: Copyright (c) 2014; JID: 8704309; OTO: NOTNLM; 2014/02/26 [received]; 2014/10/07 [revised]; 2014/11/12 [accepted]; 2014/11/20 [aheadofprint]; ppublish", "page" : "232-237", "title" : "Effects of local application of simvastatin on bone regeneration in femoral bone defects in rabbit", "type" : "article-journal", "volume" : "43" }, "uris" : [ "http://www.mendeley.com/documents/?uuid=1eaaf341-a86c-4c69-be31-3a6c36799d50" ] }, { "id" : "ITEM-5", "itemData" : { "DOI" : "10.12659/MSM.892247 [doi]", "ISBN" : "1643-3750", "PMID" : "25982481", "abstract" : "BACKGROUND: Statins have been reported to promote bone formation. However, taken orally, their bioavailability is low to the bones. Implant therapies require a local repair response, topical application of osteoinductive agents, or biomaterials that promote implant fixation. MATERIAL/METHODS: The present study evaluated the effect of a single local injection of simvastatin on screw fixation in an ovariectomized rat model of osteoporosis. RESULTS: Dual-energy X-ray absorptiometry, micro-computed tomography, histology, and biomechanical tests revealed that 5 and 10 mg simvastatin significantly improved bone mineral density by 18.2% and 22.4%, respectively (P&lt;0.05); increased bone volume fraction by 51.0% and 57.9%, trabecular thickness by 16.4% and 18.9%, trabeculae number by 112.0% and 107.1%, and percentage of osseointegration by 115.7% and 126.3%; and decreased trabeculae separation by 34.1% and 36.6%, respectively (all P&lt;0.01). Bone mineral apposition rate was significantly increased (P&lt;0.01). Furthermore, implant fixation was significantly increased (P&lt;0.05), and bone morphogenetic protein 2 (BMP2) expression was markedly increased. Local injection of a single dose of simvastatin also promoted angiogenesis. Vessel number, volume, thickness, surface area, and vascular volume per tissue volume were significantly increased (all P&lt;0.01). Vascular endothelial growth factor (VEGF), VEGF receptor-2, von Willebrand factor, and platelet endothelial cell adhesion molecule-1 expression were enhanced. CONCLUSIONS: A single local injection of simvastatin significantly increased bone formation, promoted osseointegration, and enhanced implant fixation in ovariectomized rats. The underlying mechanism appears to involve enhanced BMP2 expression and angiogenesis in the target bone.", "author" : [ { "dropping-particle" : "", "family" : "Tan", "given" : "J", "non-dropping-particle" : "", "parse-names" : false, "suffix" : "" }, { "dropping-particle" : "", "family" : "Yang", "given" : "N", "non-dropping-particle" : "", "parse-names" : false, "suffix" : "" }, { "dropping-particle" : "", "family" : "Fu", "given" : "X", "non-dropping-particle" : "", "parse-names" : false, "suffix" : "" }, { "dropping-particle" : "", "family" : "Cui", "given" : "Y", "non-dropping-particle" : "", "parse-names" : false, "suffix" : "" }, { "dropping-particle" : "", "family" : "Guo", "given" : "Q", "non-dropping-particle" : "", "parse-names" : false, "suffix" : "" }, { "dropping-particle" : "", "family" : "Ma", "given" : "T", "non-dropping-particle" : "", "parse-names" : false, "suffix" : "" }, { "dropping-particle" : "", "family" : "Yin", "given" : "X", "non-dropping-particle" : "", "parse-names" : false, "suffix" : "" }, { "dropping-particle" : "", "family" : "Leng", "given" : "H", "non-dropping-particle" : "", "parse-names" : false, "suffix" : "" }, { "dropping-particle" : "", "family" : "Song", "given" : "C", "non-dropping-particle" : "", "parse-names" : false, "suffix" : "" } ], "container-title" : "Medical science monitor : international medical journal of experimental and clinical research", "id" : "ITEM-5", "issued" : { "date-parts" : [ [ "2015", "5" ] ] }, "note" : "LR: 20150610; JID: 9609063; OID: NLM: PMC4448596; epublish", "page" : "1428-1439", "title" : "Single-dose local simvastatin injection improves implant fixation via increased angiogenesis and bone formation in an ovariectomized rat model", "type" : "article-journal", "volume" : "21" }, "uris" : [ "http://www.mendeley.com/documents/?uuid=db007606-7384-4a10-9c4e-bc398b7871a2" ] } ], "mendeley" : { "formattedCitation" : "&lt;sup&gt;28\u201332&lt;/sup&gt;", "plainTextFormattedCitation" : "28\u201332", "previouslyFormattedCitation" : "&lt;sup&gt;28\u201332&lt;/sup&gt;" }, "properties" : { "noteIndex" : 0 }, "schema" : "https://github.com/citation-style-language/schema/raw/master/csl-citation.json" }</w:instrText>
      </w:r>
      <w:r w:rsidR="00117947" w:rsidRPr="00030AAD">
        <w:rPr>
          <w:rFonts w:ascii="Times New Roman" w:eastAsia="Times New Roman" w:hAnsi="Times New Roman" w:cs="Times New Roman"/>
          <w:sz w:val="24"/>
          <w:szCs w:val="24"/>
        </w:rPr>
        <w:fldChar w:fldCharType="separate"/>
      </w:r>
      <w:r w:rsidR="00030AAD" w:rsidRPr="00030AAD">
        <w:rPr>
          <w:rFonts w:ascii="Times New Roman" w:eastAsia="Times New Roman" w:hAnsi="Times New Roman" w:cs="Times New Roman"/>
          <w:noProof/>
          <w:sz w:val="24"/>
          <w:szCs w:val="24"/>
          <w:vertAlign w:val="superscript"/>
        </w:rPr>
        <w:t>28–32</w:t>
      </w:r>
      <w:r w:rsidR="00117947" w:rsidRPr="00030AAD">
        <w:rPr>
          <w:rFonts w:ascii="Times New Roman" w:eastAsia="Times New Roman" w:hAnsi="Times New Roman" w:cs="Times New Roman"/>
          <w:sz w:val="24"/>
          <w:szCs w:val="24"/>
        </w:rPr>
        <w:fldChar w:fldCharType="end"/>
      </w:r>
      <w:r w:rsidRPr="00030AAD">
        <w:rPr>
          <w:rFonts w:ascii="Times New Roman" w:eastAsia="Times New Roman" w:hAnsi="Times New Roman" w:cs="Times New Roman"/>
          <w:sz w:val="24"/>
          <w:szCs w:val="24"/>
        </w:rPr>
        <w:t xml:space="preserve"> and the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dosing was calculated based on our </w:t>
      </w:r>
      <w:r w:rsidRPr="00030AAD">
        <w:rPr>
          <w:rFonts w:ascii="Times New Roman" w:eastAsia="Times New Roman" w:hAnsi="Times New Roman" w:cs="Times New Roman"/>
          <w:i/>
          <w:iCs/>
          <w:sz w:val="24"/>
          <w:szCs w:val="24"/>
        </w:rPr>
        <w:t>in vitro</w:t>
      </w:r>
      <w:r w:rsidRPr="00030AAD">
        <w:rPr>
          <w:rFonts w:ascii="Times New Roman" w:eastAsia="Times New Roman" w:hAnsi="Times New Roman" w:cs="Times New Roman"/>
          <w:sz w:val="24"/>
          <w:szCs w:val="24"/>
        </w:rPr>
        <w:t xml:space="preserve"> release profiles so that we would achieve roughly the same total dose of SIM release.</w:t>
      </w:r>
    </w:p>
    <w:p w14:paraId="661DA711" w14:textId="2D81E051" w:rsidR="00C97F5F" w:rsidRPr="00030AAD" w:rsidRDefault="005B4C5E" w:rsidP="005B4C5E">
      <w:pPr>
        <w:tabs>
          <w:tab w:val="left" w:pos="180"/>
        </w:tabs>
        <w:autoSpaceDE w:val="0"/>
        <w:autoSpaceDN w:val="0"/>
        <w:adjustRightInd w:val="0"/>
        <w:rPr>
          <w:rFonts w:ascii="Times New Roman" w:hAnsi="Times New Roman" w:cs="Times New Roman"/>
          <w:sz w:val="24"/>
          <w:szCs w:val="24"/>
        </w:rPr>
      </w:pPr>
      <w:r w:rsidRPr="00030AAD">
        <w:rPr>
          <w:rFonts w:ascii="Times New Roman" w:hAnsi="Times New Roman" w:cs="Times New Roman"/>
          <w:sz w:val="24"/>
          <w:szCs w:val="24"/>
        </w:rPr>
        <w:t>X-rays to assess for bone formation were obtained at 4 weeks and 9 weeks after the date of surgery. X-rays were scored by three blinded o</w:t>
      </w:r>
      <w:r w:rsidR="00AB13D3" w:rsidRPr="00030AAD">
        <w:rPr>
          <w:rFonts w:ascii="Times New Roman" w:hAnsi="Times New Roman" w:cs="Times New Roman"/>
          <w:sz w:val="24"/>
          <w:szCs w:val="24"/>
        </w:rPr>
        <w:t xml:space="preserve">bservers using a </w:t>
      </w:r>
      <w:r w:rsidR="003B5DF3" w:rsidRPr="00030AAD">
        <w:rPr>
          <w:rFonts w:ascii="Times New Roman" w:hAnsi="Times New Roman" w:cs="Times New Roman"/>
          <w:sz w:val="24"/>
          <w:szCs w:val="24"/>
        </w:rPr>
        <w:t xml:space="preserve">previously-described </w:t>
      </w:r>
      <w:r w:rsidR="00AB13D3" w:rsidRPr="00030AAD">
        <w:rPr>
          <w:rFonts w:ascii="Times New Roman" w:hAnsi="Times New Roman" w:cs="Times New Roman"/>
          <w:sz w:val="24"/>
          <w:szCs w:val="24"/>
        </w:rPr>
        <w:t>six point scale</w:t>
      </w:r>
      <w:r w:rsidRPr="00030AAD">
        <w:rPr>
          <w:rFonts w:ascii="Times New Roman" w:hAnsi="Times New Roman" w:cs="Times New Roman"/>
          <w:sz w:val="24"/>
          <w:szCs w:val="24"/>
        </w:rPr>
        <w:t xml:space="preserve"> (0: no bone formation, 1: &lt; 25% bone filling, 2: 25-&lt;50% bone filling, 3: 50-&lt;75% bone filling, 4: 75-99% bone filling, 5: clear evidence of successful fusion).</w:t>
      </w:r>
      <w:r w:rsidR="000B6BAE" w:rsidRPr="00030AAD">
        <w:rPr>
          <w:rFonts w:ascii="Times New Roman" w:hAnsi="Times New Roman" w:cs="Times New Roman"/>
          <w:sz w:val="24"/>
          <w:szCs w:val="24"/>
        </w:rPr>
        <w:fldChar w:fldCharType="begin" w:fldLock="1"/>
      </w:r>
      <w:r w:rsidR="00302F26">
        <w:rPr>
          <w:rFonts w:ascii="Times New Roman" w:hAnsi="Times New Roman" w:cs="Times New Roman"/>
          <w:sz w:val="24"/>
          <w:szCs w:val="24"/>
        </w:rPr>
        <w:instrText>ADDIN CSL_CITATION { "citationItems" : [ { "id" : "ITEM-1", "itemData" : { "DOI" : "10.2106/JBJS.L.01396 [doi]", "ISBN" : "1535-1386", "PMID" : "24005203", "abstract" : "BACKGROUND: Previous studies have suggested that the co-expression of two different bone morphogenetic protein (BMP) genes can result in the production of heterodimeric BMPs that may be more potent than homodimers. In this study, combined BMP-2 and BMP-7 gene transfer was performed ex vivo to compare the resulting new bone formation with that of single-BMP gene transfer in a rat spinal fusion model. METHODS: Forty-four athymic rats underwent posterolateral fusion at L4-L5 and were implanted with a collagen sponge containing human adipose-derived stem cells. Group A received untreated cells, and the remaining groups received cells transfected with various genes in a lentivirus vector. The transferred genes were GFP (green fluorescent protein) in Group B, BMP-2 in Group C, BMP-7 in Group D, and both BMP-2 and BMP-7 in Group E. In vitro production of BMP-2 and BMP-7 was quantified by means of an enzyme-linked immunosorbent assay (ELISA) specific to BMP-2 or BMP-7. Osseous fusion was quantified with use of radiography and microcomputed tomography. RESULTS: ELISA demonstrated that Group E, which was treated with both BMP-2 and BMP-7, produced less than one-fourth as much BMP as the groups treated with a single transfected BMP (Groups C and D). Radiographs showed that all of the spines in Groups C, D, and E appeared to be fused by eight weeks; the spines in Groups A and B showed minimal evidence of new bone formation. Measurements confirmed that the mean bone formation area was significantly greater in Groups C, D, and E compared with Groups A and B (p &lt; 0.001). In addition, the bone formation area was significantly greater in Group E compared with Groups C and D (p &lt; 0.001). CONCLUSIONS: Combined BMP-2 and BMP-7 ex vivo gene transfer was found to be significantly more effective for inducing new bone formation compared with ex vivo gene transfer of an individual BMP in a rat spinal fusion model. CLINICAL RELEVANCE: Combined BMP-2 and BMP-7 therapy may lead to efficient bone regeneration.", "author" : [ { "dropping-particle" : "", "family" : "Kaito", "given" : "T", "non-dropping-particle" : "", "parse-names" : false, "suffix" : "" }, { "dropping-particle" : "", "family" : "Johnson", "given" : "J", "non-dropping-particle" : "", "parse-names" : false, "suffix" : "" }, { "dropping-particle" : "", "family" : "Ellerman", "given" : "J", "non-dropping-particle" : "", "parse-names" : false, "suffix" : "" }, { "dropping-particle" : "", "family" : "Tian", "given" : "H", "non-dropping-particle" : "", "parse-names" : false, "suffix" : "" }, { "dropping-particle" : "", "family" : "Aydogan", "given" : "M", "non-dropping-particle" : "", "parse-names" : false, "suffix" : "" }, { "dropping-particle" : "", "family" : "Chatsrinopkun", "given" : "M", "non-dropping-particle" : "", "parse-names" : false, "suffix" : "" }, { "dropping-particle" : "", "family" : "Ngo", "given" : "S", "non-dropping-particle" : "", "parse-names" : false, "suffix" : "" }, { "dropping-particle" : "", "family" : "Choi", "given" : "C", "non-dropping-particle" : "", "parse-names" : false, "suffix" : "" }, { "dropping-particle" : "", "family" : "Wang", "given" : "J C", "non-dropping-particle" : "", "parse-names" : false, "suffix" : "" } ], "container-title" : "The Journal of bone and joint surgery.American volume", "id" : "ITEM-1", "issue" : "17", "issued" : { "date-parts" : [ [ "2013", "9" ] ] }, "note" : "JID: 0014030; 0 (BMP2 protein, human); 0 (BMP7 protein, human); 0 (Bone Morphogenetic Protein 2); 0 (Bone Morphogenetic Protein 7); ppublish", "page" : "1612-1619", "title" : "Synergistic effect of bone morphogenetic proteins 2 and 7 by ex vivo gene therapy in a rat spinal fusion model", "type" : "article-journal", "volume" : "95" }, "uris" : [ "http://www.mendeley.com/documents/?uuid=aaafce12-33c2-4ec3-843c-bc12bf91719a" ] } ], "mendeley" : { "formattedCitation" : "&lt;sup&gt;33&lt;/sup&gt;", "plainTextFormattedCitation" : "33", "previouslyFormattedCitation" : "&lt;sup&gt;33&lt;/sup&gt;" }, "properties" : { "noteIndex" : 0 }, "schema" : "https://github.com/citation-style-language/schema/raw/master/csl-citation.json" }</w:instrText>
      </w:r>
      <w:r w:rsidR="000B6BAE" w:rsidRPr="00030AAD">
        <w:rPr>
          <w:rFonts w:ascii="Times New Roman" w:hAnsi="Times New Roman" w:cs="Times New Roman"/>
          <w:sz w:val="24"/>
          <w:szCs w:val="24"/>
        </w:rPr>
        <w:fldChar w:fldCharType="separate"/>
      </w:r>
      <w:r w:rsidR="00030AAD" w:rsidRPr="00030AAD">
        <w:rPr>
          <w:rFonts w:ascii="Times New Roman" w:hAnsi="Times New Roman" w:cs="Times New Roman"/>
          <w:noProof/>
          <w:sz w:val="24"/>
          <w:szCs w:val="24"/>
          <w:vertAlign w:val="superscript"/>
        </w:rPr>
        <w:t>33</w:t>
      </w:r>
      <w:r w:rsidR="000B6BAE" w:rsidRPr="00030AAD">
        <w:rPr>
          <w:rFonts w:ascii="Times New Roman" w:hAnsi="Times New Roman" w:cs="Times New Roman"/>
          <w:sz w:val="24"/>
          <w:szCs w:val="24"/>
        </w:rPr>
        <w:fldChar w:fldCharType="end"/>
      </w:r>
      <w:r w:rsidRPr="00030AAD">
        <w:rPr>
          <w:rFonts w:ascii="Times New Roman" w:hAnsi="Times New Roman" w:cs="Times New Roman"/>
          <w:sz w:val="24"/>
          <w:szCs w:val="24"/>
        </w:rPr>
        <w:t xml:space="preserve"> The average of the three observers’ scores was used for analysis. </w:t>
      </w:r>
      <w:r w:rsidR="00AB13D3" w:rsidRPr="00030AAD">
        <w:rPr>
          <w:rFonts w:ascii="Times New Roman" w:hAnsi="Times New Roman" w:cs="Times New Roman"/>
          <w:sz w:val="24"/>
          <w:szCs w:val="24"/>
        </w:rPr>
        <w:t xml:space="preserve">Interobserver reliability was calculated using </w:t>
      </w:r>
      <w:proofErr w:type="spellStart"/>
      <w:r w:rsidR="00AB13D3" w:rsidRPr="00030AAD">
        <w:rPr>
          <w:rFonts w:ascii="Times New Roman" w:hAnsi="Times New Roman" w:cs="Times New Roman"/>
          <w:sz w:val="24"/>
          <w:szCs w:val="24"/>
        </w:rPr>
        <w:t>intraclass</w:t>
      </w:r>
      <w:proofErr w:type="spellEnd"/>
      <w:r w:rsidR="00AB13D3" w:rsidRPr="00030AAD">
        <w:rPr>
          <w:rFonts w:ascii="Times New Roman" w:hAnsi="Times New Roman" w:cs="Times New Roman"/>
          <w:sz w:val="24"/>
          <w:szCs w:val="24"/>
        </w:rPr>
        <w:t xml:space="preserve"> correlation (ICC).</w:t>
      </w:r>
      <w:r w:rsidR="0038796A" w:rsidRPr="00030AAD">
        <w:rPr>
          <w:rFonts w:ascii="Times New Roman" w:hAnsi="Times New Roman" w:cs="Times New Roman"/>
          <w:sz w:val="24"/>
          <w:szCs w:val="24"/>
        </w:rPr>
        <w:fldChar w:fldCharType="begin" w:fldLock="1"/>
      </w:r>
      <w:r w:rsidR="00302F26">
        <w:rPr>
          <w:rFonts w:ascii="Times New Roman" w:hAnsi="Times New Roman" w:cs="Times New Roman"/>
          <w:sz w:val="24"/>
          <w:szCs w:val="24"/>
        </w:rPr>
        <w:instrText>ADDIN CSL_CITATION { "citationItems" : [ { "id" : "ITEM-1", "itemData" : { "DOI" : "10.2307/2529310", "ISBN" : "0006341X", "ISSN" : "0006-341X", "PMID" : "843571", "abstract" : "This paper presents a general statistical methodology for the analysis of multivariate categorical data arising from observer reliability studies. The procedure essentially involves the construction of functions of the observed proportions which are directed at the extent to which the observers agree among themselves and the construction of test statistics for hypotheses involving these functions. Tests for interobserver bias are presented in terms of first-order marginal homogeneity and measures of interobserver agreement are developed as generalized kappa-type statistics. These procedures are illustrated with a clinical diagnosis example from the epidemiological literature.", "author" : [ { "dropping-particle" : "", "family" : "Landis", "given" : "J R", "non-dropping-particle" : "", "parse-names" : false, "suffix" : "" }, { "dropping-particle" : "", "family" : "Koch", "given" : "G G", "non-dropping-particle" : "", "parse-names" : false, "suffix" : "" } ], "container-title" : "Biometrics", "id" : "ITEM-1", "issue" : "1", "issued" : { "date-parts" : [ [ "1977", "3" ] ] }, "title" : "The measurement of observer agreement for categorical data.", "type" : "article-journal", "volume" : "33" }, "uris" : [ "http://www.mendeley.com/documents/?uuid=a7e421cd-5761-441c-937c-0ff2e74d602c" ] } ], "mendeley" : { "formattedCitation" : "&lt;sup&gt;34&lt;/sup&gt;", "plainTextFormattedCitation" : "34", "previouslyFormattedCitation" : "&lt;sup&gt;34&lt;/sup&gt;" }, "properties" : { "noteIndex" : 0 }, "schema" : "https://github.com/citation-style-language/schema/raw/master/csl-citation.json" }</w:instrText>
      </w:r>
      <w:r w:rsidR="0038796A" w:rsidRPr="00030AAD">
        <w:rPr>
          <w:rFonts w:ascii="Times New Roman" w:hAnsi="Times New Roman" w:cs="Times New Roman"/>
          <w:sz w:val="24"/>
          <w:szCs w:val="24"/>
        </w:rPr>
        <w:fldChar w:fldCharType="separate"/>
      </w:r>
      <w:r w:rsidR="00030AAD" w:rsidRPr="00030AAD">
        <w:rPr>
          <w:rFonts w:ascii="Times New Roman" w:hAnsi="Times New Roman" w:cs="Times New Roman"/>
          <w:noProof/>
          <w:sz w:val="24"/>
          <w:szCs w:val="24"/>
          <w:vertAlign w:val="superscript"/>
        </w:rPr>
        <w:t>34</w:t>
      </w:r>
      <w:r w:rsidR="0038796A" w:rsidRPr="00030AAD">
        <w:rPr>
          <w:rFonts w:ascii="Times New Roman" w:hAnsi="Times New Roman" w:cs="Times New Roman"/>
          <w:sz w:val="24"/>
          <w:szCs w:val="24"/>
        </w:rPr>
        <w:fldChar w:fldCharType="end"/>
      </w:r>
    </w:p>
    <w:p w14:paraId="382704D6" w14:textId="4C7E02CC" w:rsidR="00644B76" w:rsidRPr="00030AAD" w:rsidRDefault="005B4C5E" w:rsidP="00F85CDB">
      <w:pPr>
        <w:tabs>
          <w:tab w:val="left" w:pos="180"/>
        </w:tabs>
        <w:autoSpaceDE w:val="0"/>
        <w:autoSpaceDN w:val="0"/>
        <w:adjustRightInd w:val="0"/>
        <w:rPr>
          <w:rFonts w:ascii="Times New Roman" w:hAnsi="Times New Roman" w:cs="Times New Roman"/>
          <w:sz w:val="24"/>
          <w:szCs w:val="24"/>
        </w:rPr>
      </w:pPr>
      <w:r w:rsidRPr="00030AAD">
        <w:rPr>
          <w:rFonts w:ascii="Times New Roman" w:hAnsi="Times New Roman" w:cs="Times New Roman"/>
          <w:sz w:val="24"/>
          <w:szCs w:val="24"/>
        </w:rPr>
        <w:t xml:space="preserve">Animals were sacrificed at 9 weeks. Spines were then explanted and a manual assessment of fusion was performed by three blinded observers checking for motion at L4-5 compared to the levels above and below. Spines were considered fused if 2 of 3 observers considered the spine fused. </w:t>
      </w:r>
      <w:r w:rsidR="000B6BAE" w:rsidRPr="00030AAD">
        <w:rPr>
          <w:rFonts w:ascii="Times New Roman" w:hAnsi="Times New Roman" w:cs="Times New Roman"/>
          <w:sz w:val="24"/>
          <w:szCs w:val="24"/>
        </w:rPr>
        <w:t xml:space="preserve">ICC for the MAF was also performed. </w:t>
      </w:r>
    </w:p>
    <w:p w14:paraId="0CAE9B8A" w14:textId="16011D30" w:rsidR="00E16C17" w:rsidRPr="00030AAD" w:rsidRDefault="00E16C17" w:rsidP="00F85CDB">
      <w:pPr>
        <w:tabs>
          <w:tab w:val="left" w:pos="180"/>
        </w:tabs>
        <w:autoSpaceDE w:val="0"/>
        <w:autoSpaceDN w:val="0"/>
        <w:adjustRightInd w:val="0"/>
        <w:rPr>
          <w:rFonts w:ascii="Times New Roman" w:hAnsi="Times New Roman" w:cs="Times New Roman"/>
          <w:sz w:val="24"/>
          <w:szCs w:val="24"/>
        </w:rPr>
      </w:pPr>
      <w:r w:rsidRPr="00030AAD">
        <w:rPr>
          <w:rFonts w:ascii="Times New Roman" w:eastAsia="Times New Roman" w:hAnsi="Times New Roman" w:cs="Times New Roman"/>
          <w:sz w:val="24"/>
          <w:szCs w:val="24"/>
        </w:rPr>
        <w:t>Sacrificed spines were fixed with 10% buffered formalin and sent for micro computed tomographic (</w:t>
      </w:r>
      <w:proofErr w:type="spellStart"/>
      <w:r w:rsidRPr="00030AAD">
        <w:rPr>
          <w:rFonts w:ascii="Times New Roman" w:eastAsia="Times New Roman" w:hAnsi="Times New Roman" w:cs="Times New Roman"/>
          <w:sz w:val="24"/>
          <w:szCs w:val="24"/>
        </w:rPr>
        <w:t>uCT</w:t>
      </w:r>
      <w:proofErr w:type="spellEnd"/>
      <w:r w:rsidRPr="00030AAD">
        <w:rPr>
          <w:rFonts w:ascii="Times New Roman" w:eastAsia="Times New Roman" w:hAnsi="Times New Roman" w:cs="Times New Roman"/>
          <w:sz w:val="24"/>
          <w:szCs w:val="24"/>
        </w:rPr>
        <w:t xml:space="preserve">) analysis.  Qualitative analysis of the </w:t>
      </w:r>
      <w:proofErr w:type="spellStart"/>
      <w:r w:rsidRPr="00030AAD">
        <w:rPr>
          <w:rFonts w:ascii="Times New Roman" w:eastAsia="Times New Roman" w:hAnsi="Times New Roman" w:cs="Times New Roman"/>
          <w:sz w:val="24"/>
          <w:szCs w:val="24"/>
        </w:rPr>
        <w:t>uCT</w:t>
      </w:r>
      <w:proofErr w:type="spellEnd"/>
      <w:r w:rsidRPr="00030AAD">
        <w:rPr>
          <w:rFonts w:ascii="Times New Roman" w:eastAsia="Times New Roman" w:hAnsi="Times New Roman" w:cs="Times New Roman"/>
          <w:sz w:val="24"/>
          <w:szCs w:val="24"/>
        </w:rPr>
        <w:t xml:space="preserve"> images was performed. </w:t>
      </w:r>
      <w:r w:rsidRPr="00030AAD">
        <w:rPr>
          <w:rFonts w:ascii="Times New Roman" w:hAnsi="Times New Roman" w:cs="Times New Roman"/>
          <w:sz w:val="24"/>
          <w:szCs w:val="24"/>
        </w:rPr>
        <w:t xml:space="preserve">Three spines from each group were then decalcified with EDTA and 2 micrometer thick sections through the fusion mass were obtained using a microtome. Sections were stained using </w:t>
      </w:r>
      <w:r w:rsidRPr="00030AAD">
        <w:rPr>
          <w:rFonts w:ascii="Times New Roman" w:hAnsi="Times New Roman" w:cs="Times New Roman"/>
          <w:sz w:val="24"/>
          <w:szCs w:val="24"/>
        </w:rPr>
        <w:lastRenderedPageBreak/>
        <w:t xml:space="preserve">hematoxylin and eosin (H&amp;E) and Safranin O. A qualitative examination of bone morphometry was performed using a light microscope. </w:t>
      </w:r>
    </w:p>
    <w:p w14:paraId="17BE34B8" w14:textId="77777777" w:rsidR="008355BA" w:rsidRDefault="008355BA" w:rsidP="00C97F5F">
      <w:pPr>
        <w:tabs>
          <w:tab w:val="left" w:pos="180"/>
        </w:tabs>
        <w:autoSpaceDE w:val="0"/>
        <w:autoSpaceDN w:val="0"/>
        <w:adjustRightInd w:val="0"/>
        <w:rPr>
          <w:rFonts w:ascii="Times New Roman" w:hAnsi="Times New Roman" w:cs="Times New Roman"/>
          <w:b/>
          <w:sz w:val="24"/>
          <w:szCs w:val="24"/>
        </w:rPr>
      </w:pPr>
    </w:p>
    <w:p w14:paraId="2EE19618" w14:textId="5DC7F8F9" w:rsidR="005C5588" w:rsidRPr="008355BA" w:rsidRDefault="008355BA" w:rsidP="00C97F5F">
      <w:pPr>
        <w:tabs>
          <w:tab w:val="left" w:pos="180"/>
        </w:tabs>
        <w:autoSpaceDE w:val="0"/>
        <w:autoSpaceDN w:val="0"/>
        <w:adjustRightInd w:val="0"/>
        <w:rPr>
          <w:rFonts w:ascii="Times New Roman" w:hAnsi="Times New Roman" w:cs="Times New Roman"/>
          <w:b/>
          <w:sz w:val="24"/>
          <w:szCs w:val="24"/>
          <w:u w:val="single"/>
        </w:rPr>
      </w:pPr>
      <w:r>
        <w:rPr>
          <w:rFonts w:ascii="Times New Roman" w:hAnsi="Times New Roman" w:cs="Times New Roman"/>
          <w:b/>
          <w:sz w:val="24"/>
          <w:szCs w:val="24"/>
          <w:u w:val="single"/>
        </w:rPr>
        <w:t>RESULTS</w:t>
      </w:r>
    </w:p>
    <w:p w14:paraId="7F10E1E2" w14:textId="52A45BEA" w:rsidR="00B96B4C" w:rsidRPr="008355BA" w:rsidRDefault="2CC57DB6" w:rsidP="2CC57DB6">
      <w:pPr>
        <w:tabs>
          <w:tab w:val="left" w:pos="180"/>
        </w:tabs>
        <w:autoSpaceDE w:val="0"/>
        <w:autoSpaceDN w:val="0"/>
        <w:adjustRightInd w:val="0"/>
        <w:rPr>
          <w:rFonts w:ascii="Times New Roman" w:eastAsia="Times New Roman" w:hAnsi="Times New Roman" w:cs="Times New Roman"/>
          <w:b/>
          <w:sz w:val="24"/>
          <w:szCs w:val="24"/>
        </w:rPr>
      </w:pPr>
      <w:r w:rsidRPr="008355BA">
        <w:rPr>
          <w:rFonts w:ascii="Times New Roman" w:eastAsia="Times New Roman" w:hAnsi="Times New Roman" w:cs="Times New Roman"/>
          <w:b/>
          <w:iCs/>
          <w:sz w:val="24"/>
          <w:szCs w:val="24"/>
        </w:rPr>
        <w:t>Nanoparticle Characterization</w:t>
      </w:r>
    </w:p>
    <w:p w14:paraId="43DBC61C" w14:textId="45B69FB3" w:rsidR="2CC57DB6" w:rsidRPr="00030AAD" w:rsidRDefault="2CC57DB6" w:rsidP="2CC57DB6">
      <w:pPr>
        <w:rPr>
          <w:rFonts w:ascii="Times New Roman" w:eastAsia="Times New Roman" w:hAnsi="Times New Roman" w:cs="Times New Roman"/>
          <w:i/>
          <w:iCs/>
          <w:sz w:val="24"/>
          <w:szCs w:val="24"/>
        </w:rPr>
      </w:pPr>
      <w:r w:rsidRPr="00030AAD">
        <w:rPr>
          <w:rFonts w:ascii="Times New Roman" w:eastAsia="Times New Roman" w:hAnsi="Times New Roman" w:cs="Times New Roman"/>
          <w:sz w:val="24"/>
          <w:szCs w:val="24"/>
        </w:rPr>
        <w:t xml:space="preserve">Under electron microscopy,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averaged 208±128.7nm in diameter ranging in size from 29.4 to 549nm (</w:t>
      </w:r>
      <w:r w:rsidRPr="00030AAD">
        <w:rPr>
          <w:rFonts w:ascii="Times New Roman" w:eastAsia="Times New Roman" w:hAnsi="Times New Roman" w:cs="Times New Roman"/>
          <w:b/>
          <w:bCs/>
          <w:sz w:val="24"/>
          <w:szCs w:val="24"/>
        </w:rPr>
        <w:t xml:space="preserve">Figure </w:t>
      </w:r>
      <w:r w:rsidR="00704A14">
        <w:rPr>
          <w:rFonts w:ascii="Times New Roman" w:eastAsia="Times New Roman" w:hAnsi="Times New Roman" w:cs="Times New Roman"/>
          <w:b/>
          <w:bCs/>
          <w:sz w:val="24"/>
          <w:szCs w:val="24"/>
        </w:rPr>
        <w:t>2</w:t>
      </w:r>
      <w:r w:rsidRPr="00030AAD">
        <w:rPr>
          <w:rFonts w:ascii="Times New Roman" w:eastAsia="Times New Roman" w:hAnsi="Times New Roman" w:cs="Times New Roman"/>
          <w:sz w:val="24"/>
          <w:szCs w:val="24"/>
        </w:rPr>
        <w:t xml:space="preserve">). UV-Vis When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were placed in solution with PBS, we saw time-dependent release over a </w:t>
      </w:r>
      <w:r w:rsidR="00046515" w:rsidRPr="00030AAD">
        <w:rPr>
          <w:rFonts w:ascii="Times New Roman" w:eastAsia="Times New Roman" w:hAnsi="Times New Roman" w:cs="Times New Roman"/>
          <w:sz w:val="24"/>
          <w:szCs w:val="24"/>
        </w:rPr>
        <w:t>two-week</w:t>
      </w:r>
      <w:r w:rsidRPr="00030AAD">
        <w:rPr>
          <w:rFonts w:ascii="Times New Roman" w:eastAsia="Times New Roman" w:hAnsi="Times New Roman" w:cs="Times New Roman"/>
          <w:sz w:val="24"/>
          <w:szCs w:val="24"/>
        </w:rPr>
        <w:t xml:space="preserve"> period (</w:t>
      </w:r>
      <w:r w:rsidRPr="00030AAD">
        <w:rPr>
          <w:rFonts w:ascii="Times New Roman" w:eastAsia="Times New Roman" w:hAnsi="Times New Roman" w:cs="Times New Roman"/>
          <w:b/>
          <w:bCs/>
          <w:sz w:val="24"/>
          <w:szCs w:val="24"/>
        </w:rPr>
        <w:t xml:space="preserve">Figure </w:t>
      </w:r>
      <w:r w:rsidR="00704A14">
        <w:rPr>
          <w:rFonts w:ascii="Times New Roman" w:eastAsia="Times New Roman" w:hAnsi="Times New Roman" w:cs="Times New Roman"/>
          <w:b/>
          <w:bCs/>
          <w:sz w:val="24"/>
          <w:szCs w:val="24"/>
        </w:rPr>
        <w:t>3</w:t>
      </w:r>
      <w:r w:rsidRPr="00030AAD">
        <w:rPr>
          <w:rFonts w:ascii="Times New Roman" w:eastAsia="Times New Roman" w:hAnsi="Times New Roman" w:cs="Times New Roman"/>
          <w:sz w:val="24"/>
          <w:szCs w:val="24"/>
        </w:rPr>
        <w:t xml:space="preserve">). Approximately 50% of the total elution occurred within the first day followed by a slower release over the remainder of the </w:t>
      </w:r>
      <w:r w:rsidR="00046515" w:rsidRPr="00030AAD">
        <w:rPr>
          <w:rFonts w:ascii="Times New Roman" w:eastAsia="Times New Roman" w:hAnsi="Times New Roman" w:cs="Times New Roman"/>
          <w:sz w:val="24"/>
          <w:szCs w:val="24"/>
        </w:rPr>
        <w:t>two-week</w:t>
      </w:r>
      <w:r w:rsidRPr="00030AAD">
        <w:rPr>
          <w:rFonts w:ascii="Times New Roman" w:eastAsia="Times New Roman" w:hAnsi="Times New Roman" w:cs="Times New Roman"/>
          <w:sz w:val="24"/>
          <w:szCs w:val="24"/>
        </w:rPr>
        <w:t xml:space="preserve"> interval. Total release efficiency averaged 74.1%. As the concentration of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in PBS was increased, the total drug released also increased in a roughly linear fashion.</w:t>
      </w:r>
    </w:p>
    <w:p w14:paraId="02B890F8" w14:textId="6A319D09" w:rsidR="2CC57DB6" w:rsidRPr="008355BA" w:rsidRDefault="2CC57DB6" w:rsidP="2CC57DB6">
      <w:pPr>
        <w:rPr>
          <w:rFonts w:ascii="Times New Roman" w:eastAsia="Times New Roman" w:hAnsi="Times New Roman" w:cs="Times New Roman"/>
          <w:b/>
          <w:iCs/>
          <w:sz w:val="24"/>
          <w:szCs w:val="24"/>
        </w:rPr>
      </w:pPr>
      <w:r w:rsidRPr="008355BA">
        <w:rPr>
          <w:rFonts w:ascii="Times New Roman" w:eastAsia="Times New Roman" w:hAnsi="Times New Roman" w:cs="Times New Roman"/>
          <w:b/>
          <w:iCs/>
          <w:sz w:val="24"/>
          <w:szCs w:val="24"/>
        </w:rPr>
        <w:t>In Vitro</w:t>
      </w:r>
      <w:r w:rsidR="00AB13D3" w:rsidRPr="008355BA">
        <w:rPr>
          <w:rFonts w:ascii="Times New Roman" w:eastAsia="Times New Roman" w:hAnsi="Times New Roman" w:cs="Times New Roman"/>
          <w:b/>
          <w:iCs/>
          <w:sz w:val="24"/>
          <w:szCs w:val="24"/>
        </w:rPr>
        <w:t xml:space="preserve"> Response</w:t>
      </w:r>
    </w:p>
    <w:p w14:paraId="7A105DFE" w14:textId="68DBE43E" w:rsidR="00AB13D3" w:rsidRPr="00030AAD" w:rsidRDefault="6E6491C9" w:rsidP="00AB13D3">
      <w:pPr>
        <w:rPr>
          <w:rFonts w:ascii="Times New Roman" w:hAnsi="Times New Roman" w:cs="Times New Roman"/>
          <w:sz w:val="24"/>
          <w:szCs w:val="24"/>
        </w:rPr>
      </w:pPr>
      <w:r w:rsidRPr="00030AAD">
        <w:rPr>
          <w:rFonts w:ascii="Times New Roman" w:eastAsia="Times New Roman" w:hAnsi="Times New Roman" w:cs="Times New Roman"/>
          <w:sz w:val="24"/>
          <w:szCs w:val="24"/>
        </w:rPr>
        <w:t xml:space="preserve">MC3T3 cells showed no reduction in cell viability at SIM concentrations ranging from 1-16 </w:t>
      </w:r>
      <w:proofErr w:type="spellStart"/>
      <w:r w:rsidRPr="00030AAD">
        <w:rPr>
          <w:rFonts w:ascii="Times New Roman" w:eastAsia="Times New Roman" w:hAnsi="Times New Roman" w:cs="Times New Roman"/>
          <w:sz w:val="24"/>
          <w:szCs w:val="24"/>
        </w:rPr>
        <w:t>ug</w:t>
      </w:r>
      <w:proofErr w:type="spellEnd"/>
      <w:r w:rsidRPr="00030AAD">
        <w:rPr>
          <w:rFonts w:ascii="Times New Roman" w:eastAsia="Times New Roman" w:hAnsi="Times New Roman" w:cs="Times New Roman"/>
          <w:sz w:val="24"/>
          <w:szCs w:val="24"/>
        </w:rPr>
        <w:t xml:space="preserve">/mL or with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doses ranging from 12.5 to 200 </w:t>
      </w:r>
      <w:proofErr w:type="spellStart"/>
      <w:r w:rsidRPr="00030AAD">
        <w:rPr>
          <w:rFonts w:ascii="Times New Roman" w:eastAsia="Times New Roman" w:hAnsi="Times New Roman" w:cs="Times New Roman"/>
          <w:sz w:val="24"/>
          <w:szCs w:val="24"/>
        </w:rPr>
        <w:t>ug</w:t>
      </w:r>
      <w:proofErr w:type="spellEnd"/>
      <w:r w:rsidRPr="00030AAD">
        <w:rPr>
          <w:rFonts w:ascii="Times New Roman" w:eastAsia="Times New Roman" w:hAnsi="Times New Roman" w:cs="Times New Roman"/>
          <w:sz w:val="24"/>
          <w:szCs w:val="24"/>
        </w:rPr>
        <w:t>/</w:t>
      </w:r>
      <w:proofErr w:type="spellStart"/>
      <w:r w:rsidRPr="00030AAD">
        <w:rPr>
          <w:rFonts w:ascii="Times New Roman" w:eastAsia="Times New Roman" w:hAnsi="Times New Roman" w:cs="Times New Roman"/>
          <w:sz w:val="24"/>
          <w:szCs w:val="24"/>
        </w:rPr>
        <w:t>mL</w:t>
      </w:r>
      <w:r w:rsidR="00AB13D3" w:rsidRPr="00030AAD">
        <w:rPr>
          <w:rFonts w:ascii="Times New Roman" w:eastAsia="Times New Roman" w:hAnsi="Times New Roman" w:cs="Times New Roman"/>
          <w:sz w:val="24"/>
          <w:szCs w:val="24"/>
        </w:rPr>
        <w:t>.</w:t>
      </w:r>
      <w:proofErr w:type="spellEnd"/>
      <w:r w:rsidR="00AB13D3" w:rsidRPr="00030AAD">
        <w:rPr>
          <w:rFonts w:ascii="Times New Roman" w:hAnsi="Times New Roman" w:cs="Times New Roman"/>
          <w:sz w:val="24"/>
          <w:szCs w:val="24"/>
        </w:rPr>
        <w:t xml:space="preserve"> Cells cultured with </w:t>
      </w:r>
      <w:r w:rsidR="00F85CDB" w:rsidRPr="00030AAD">
        <w:rPr>
          <w:rFonts w:ascii="Times New Roman" w:hAnsi="Times New Roman" w:cs="Times New Roman"/>
          <w:sz w:val="24"/>
          <w:szCs w:val="24"/>
        </w:rPr>
        <w:t>SIM</w:t>
      </w:r>
      <w:r w:rsidR="00AB13D3" w:rsidRPr="00030AAD">
        <w:rPr>
          <w:rFonts w:ascii="Times New Roman" w:hAnsi="Times New Roman" w:cs="Times New Roman"/>
          <w:sz w:val="24"/>
          <w:szCs w:val="24"/>
        </w:rPr>
        <w:t xml:space="preserve"> showed significantly more calcium deposition on Alizarin red staining</w:t>
      </w:r>
      <w:r w:rsidR="00710C16" w:rsidRPr="00030AAD">
        <w:rPr>
          <w:rFonts w:ascii="Times New Roman" w:hAnsi="Times New Roman" w:cs="Times New Roman"/>
          <w:sz w:val="24"/>
          <w:szCs w:val="24"/>
        </w:rPr>
        <w:t xml:space="preserve"> (</w:t>
      </w:r>
      <w:r w:rsidR="00710C16" w:rsidRPr="00030AAD">
        <w:rPr>
          <w:rFonts w:ascii="Times New Roman" w:hAnsi="Times New Roman" w:cs="Times New Roman"/>
          <w:b/>
          <w:sz w:val="24"/>
          <w:szCs w:val="24"/>
        </w:rPr>
        <w:t xml:space="preserve">Figure </w:t>
      </w:r>
      <w:r w:rsidR="00704A14">
        <w:rPr>
          <w:rFonts w:ascii="Times New Roman" w:hAnsi="Times New Roman" w:cs="Times New Roman"/>
          <w:b/>
          <w:sz w:val="24"/>
          <w:szCs w:val="24"/>
        </w:rPr>
        <w:t>4</w:t>
      </w:r>
      <w:r w:rsidR="00710C16" w:rsidRPr="00030AAD">
        <w:rPr>
          <w:rFonts w:ascii="Times New Roman" w:hAnsi="Times New Roman" w:cs="Times New Roman"/>
          <w:sz w:val="24"/>
          <w:szCs w:val="24"/>
        </w:rPr>
        <w:t>)</w:t>
      </w:r>
      <w:r w:rsidR="00AB13D3" w:rsidRPr="00030AAD">
        <w:rPr>
          <w:rFonts w:ascii="Times New Roman" w:hAnsi="Times New Roman" w:cs="Times New Roman"/>
          <w:sz w:val="24"/>
          <w:szCs w:val="24"/>
        </w:rPr>
        <w:t xml:space="preserve">. PCR showed significantly more expression of </w:t>
      </w:r>
      <w:proofErr w:type="spellStart"/>
      <w:r w:rsidR="00AB13D3" w:rsidRPr="00030AAD">
        <w:rPr>
          <w:rFonts w:ascii="Times New Roman" w:hAnsi="Times New Roman" w:cs="Times New Roman"/>
          <w:sz w:val="24"/>
          <w:szCs w:val="24"/>
        </w:rPr>
        <w:t>osteopontin</w:t>
      </w:r>
      <w:proofErr w:type="spellEnd"/>
      <w:r w:rsidR="00AB13D3" w:rsidRPr="00030AAD">
        <w:rPr>
          <w:rFonts w:ascii="Times New Roman" w:hAnsi="Times New Roman" w:cs="Times New Roman"/>
          <w:sz w:val="24"/>
          <w:szCs w:val="24"/>
        </w:rPr>
        <w:t xml:space="preserve"> and osteocalcin at 7 and 14 days in MC3T3 cells treated with Simvastatin and with </w:t>
      </w:r>
      <w:proofErr w:type="spellStart"/>
      <w:r w:rsidR="00AB13D3" w:rsidRPr="00030AAD">
        <w:rPr>
          <w:rFonts w:ascii="Times New Roman" w:hAnsi="Times New Roman" w:cs="Times New Roman"/>
          <w:sz w:val="24"/>
          <w:szCs w:val="24"/>
        </w:rPr>
        <w:t>SimNP</w:t>
      </w:r>
      <w:proofErr w:type="spellEnd"/>
      <w:r w:rsidR="000E65E3" w:rsidRPr="00030AAD">
        <w:rPr>
          <w:rFonts w:ascii="Times New Roman" w:hAnsi="Times New Roman" w:cs="Times New Roman"/>
          <w:sz w:val="24"/>
          <w:szCs w:val="24"/>
        </w:rPr>
        <w:t xml:space="preserve"> (</w:t>
      </w:r>
      <w:r w:rsidR="00710C16" w:rsidRPr="00030AAD">
        <w:rPr>
          <w:rFonts w:ascii="Times New Roman" w:hAnsi="Times New Roman" w:cs="Times New Roman"/>
          <w:b/>
          <w:sz w:val="24"/>
          <w:szCs w:val="24"/>
        </w:rPr>
        <w:t>Figure 5</w:t>
      </w:r>
      <w:r w:rsidR="000E65E3" w:rsidRPr="00030AAD">
        <w:rPr>
          <w:rFonts w:ascii="Times New Roman" w:hAnsi="Times New Roman" w:cs="Times New Roman"/>
          <w:sz w:val="24"/>
          <w:szCs w:val="24"/>
        </w:rPr>
        <w:t>)</w:t>
      </w:r>
      <w:r w:rsidR="00AB13D3" w:rsidRPr="00030AAD">
        <w:rPr>
          <w:rFonts w:ascii="Times New Roman" w:hAnsi="Times New Roman" w:cs="Times New Roman"/>
          <w:sz w:val="24"/>
          <w:szCs w:val="24"/>
        </w:rPr>
        <w:t>. Although all SIM treated groups showed increased expression of OCN and OPN, there did not appear to be a clear dose-dependent relationship with regards to expression.</w:t>
      </w:r>
    </w:p>
    <w:p w14:paraId="368AEFC5" w14:textId="007940A2" w:rsidR="00AB13D3" w:rsidRPr="008355BA" w:rsidRDefault="00AB13D3" w:rsidP="2CC57DB6">
      <w:pPr>
        <w:rPr>
          <w:rFonts w:ascii="Times New Roman" w:eastAsia="Times New Roman" w:hAnsi="Times New Roman" w:cs="Times New Roman"/>
          <w:b/>
          <w:sz w:val="24"/>
          <w:szCs w:val="24"/>
        </w:rPr>
      </w:pPr>
      <w:r w:rsidRPr="008355BA">
        <w:rPr>
          <w:rFonts w:ascii="Times New Roman" w:eastAsia="Times New Roman" w:hAnsi="Times New Roman" w:cs="Times New Roman"/>
          <w:b/>
          <w:sz w:val="24"/>
          <w:szCs w:val="24"/>
        </w:rPr>
        <w:t>In vivo response</w:t>
      </w:r>
    </w:p>
    <w:p w14:paraId="51D33638" w14:textId="77777777" w:rsidR="008355BA" w:rsidRDefault="00AB13D3" w:rsidP="00AB13D3">
      <w:pPr>
        <w:rPr>
          <w:rFonts w:ascii="Times New Roman" w:hAnsi="Times New Roman" w:cs="Times New Roman"/>
          <w:b/>
          <w:sz w:val="24"/>
          <w:szCs w:val="24"/>
        </w:rPr>
      </w:pPr>
      <w:r w:rsidRPr="008355BA">
        <w:rPr>
          <w:rFonts w:ascii="Times New Roman" w:hAnsi="Times New Roman" w:cs="Times New Roman"/>
          <w:i/>
          <w:sz w:val="24"/>
          <w:szCs w:val="24"/>
          <w:u w:val="single"/>
        </w:rPr>
        <w:t>Complications</w:t>
      </w:r>
    </w:p>
    <w:p w14:paraId="0D8D75B5" w14:textId="290C2424" w:rsidR="00AB13D3" w:rsidRPr="00030AAD" w:rsidRDefault="00AB13D3" w:rsidP="00AB13D3">
      <w:pPr>
        <w:rPr>
          <w:rFonts w:ascii="Times New Roman" w:hAnsi="Times New Roman" w:cs="Times New Roman"/>
          <w:b/>
          <w:sz w:val="24"/>
          <w:szCs w:val="24"/>
        </w:rPr>
      </w:pPr>
      <w:r w:rsidRPr="00030AAD">
        <w:rPr>
          <w:rFonts w:ascii="Times New Roman" w:hAnsi="Times New Roman" w:cs="Times New Roman"/>
          <w:sz w:val="24"/>
          <w:szCs w:val="24"/>
        </w:rPr>
        <w:t xml:space="preserve">Three animals were sacrificed post-operatively, 2 for paralysis (1 each in </w:t>
      </w:r>
      <w:proofErr w:type="spellStart"/>
      <w:r w:rsidRPr="00030AAD">
        <w:rPr>
          <w:rFonts w:ascii="Times New Roman" w:hAnsi="Times New Roman" w:cs="Times New Roman"/>
          <w:sz w:val="24"/>
          <w:szCs w:val="24"/>
        </w:rPr>
        <w:t>SimNP</w:t>
      </w:r>
      <w:proofErr w:type="spellEnd"/>
      <w:r w:rsidRPr="00030AAD">
        <w:rPr>
          <w:rFonts w:ascii="Times New Roman" w:hAnsi="Times New Roman" w:cs="Times New Roman"/>
          <w:sz w:val="24"/>
          <w:szCs w:val="24"/>
        </w:rPr>
        <w:t xml:space="preserve"> and </w:t>
      </w:r>
      <w:proofErr w:type="spellStart"/>
      <w:r w:rsidRPr="00030AAD">
        <w:rPr>
          <w:rFonts w:ascii="Times New Roman" w:hAnsi="Times New Roman" w:cs="Times New Roman"/>
          <w:sz w:val="24"/>
          <w:szCs w:val="24"/>
        </w:rPr>
        <w:t>BlankNP</w:t>
      </w:r>
      <w:proofErr w:type="spellEnd"/>
      <w:r w:rsidRPr="00030AAD">
        <w:rPr>
          <w:rFonts w:ascii="Times New Roman" w:hAnsi="Times New Roman" w:cs="Times New Roman"/>
          <w:sz w:val="24"/>
          <w:szCs w:val="24"/>
        </w:rPr>
        <w:t>) and 1 due to deep infection (</w:t>
      </w:r>
      <w:proofErr w:type="spellStart"/>
      <w:r w:rsidRPr="00030AAD">
        <w:rPr>
          <w:rFonts w:ascii="Times New Roman" w:hAnsi="Times New Roman" w:cs="Times New Roman"/>
          <w:sz w:val="24"/>
          <w:szCs w:val="24"/>
        </w:rPr>
        <w:t>SimNP</w:t>
      </w:r>
      <w:proofErr w:type="spellEnd"/>
      <w:r w:rsidRPr="00030AAD">
        <w:rPr>
          <w:rFonts w:ascii="Times New Roman" w:hAnsi="Times New Roman" w:cs="Times New Roman"/>
          <w:sz w:val="24"/>
          <w:szCs w:val="24"/>
        </w:rPr>
        <w:t xml:space="preserve">). In addition, 11 animals required oral antibiotics in their feed for superficial infections (5 in the blank NP group, 4 in the </w:t>
      </w:r>
      <w:proofErr w:type="spellStart"/>
      <w:r w:rsidRPr="00030AAD">
        <w:rPr>
          <w:rFonts w:ascii="Times New Roman" w:hAnsi="Times New Roman" w:cs="Times New Roman"/>
          <w:sz w:val="24"/>
          <w:szCs w:val="24"/>
        </w:rPr>
        <w:t>SimNP</w:t>
      </w:r>
      <w:proofErr w:type="spellEnd"/>
      <w:r w:rsidRPr="00030AAD">
        <w:rPr>
          <w:rFonts w:ascii="Times New Roman" w:hAnsi="Times New Roman" w:cs="Times New Roman"/>
          <w:sz w:val="24"/>
          <w:szCs w:val="24"/>
        </w:rPr>
        <w:t xml:space="preserve"> group and 2 in the SIM drug group). The risk of infection did not differ by group (</w:t>
      </w:r>
      <w:proofErr w:type="spellStart"/>
      <w:r w:rsidRPr="00030AAD">
        <w:rPr>
          <w:rFonts w:ascii="Times New Roman" w:hAnsi="Times New Roman" w:cs="Times New Roman"/>
          <w:sz w:val="24"/>
          <w:szCs w:val="24"/>
        </w:rPr>
        <w:t>BlankNP</w:t>
      </w:r>
      <w:proofErr w:type="spellEnd"/>
      <w:r w:rsidRPr="00030AAD">
        <w:rPr>
          <w:rFonts w:ascii="Times New Roman" w:hAnsi="Times New Roman" w:cs="Times New Roman"/>
          <w:sz w:val="24"/>
          <w:szCs w:val="24"/>
        </w:rPr>
        <w:t xml:space="preserve"> 33.3%, </w:t>
      </w:r>
      <w:proofErr w:type="spellStart"/>
      <w:r w:rsidRPr="00030AAD">
        <w:rPr>
          <w:rFonts w:ascii="Times New Roman" w:hAnsi="Times New Roman" w:cs="Times New Roman"/>
          <w:sz w:val="24"/>
          <w:szCs w:val="24"/>
        </w:rPr>
        <w:t>SimNP</w:t>
      </w:r>
      <w:proofErr w:type="spellEnd"/>
      <w:r w:rsidRPr="00030AAD">
        <w:rPr>
          <w:rFonts w:ascii="Times New Roman" w:hAnsi="Times New Roman" w:cs="Times New Roman"/>
          <w:sz w:val="24"/>
          <w:szCs w:val="24"/>
        </w:rPr>
        <w:t xml:space="preserve"> 26.7%, SIM drug 30%). </w:t>
      </w:r>
    </w:p>
    <w:p w14:paraId="10E0960A" w14:textId="77777777" w:rsidR="008355BA" w:rsidRDefault="008355BA" w:rsidP="2CC57DB6">
      <w:pP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X-ray scores</w:t>
      </w:r>
    </w:p>
    <w:p w14:paraId="2B3446C7" w14:textId="1A1D36DA" w:rsidR="2CC57DB6" w:rsidRPr="00030AAD" w:rsidRDefault="00AB13D3" w:rsidP="2CC57DB6">
      <w:pPr>
        <w:rPr>
          <w:rFonts w:ascii="Times New Roman" w:eastAsia="Times New Roman" w:hAnsi="Times New Roman" w:cs="Times New Roman"/>
          <w:sz w:val="24"/>
          <w:szCs w:val="24"/>
        </w:rPr>
      </w:pPr>
      <w:r w:rsidRPr="00030AAD">
        <w:rPr>
          <w:rFonts w:ascii="Times New Roman" w:eastAsia="Times New Roman" w:hAnsi="Times New Roman" w:cs="Times New Roman"/>
          <w:sz w:val="24"/>
          <w:szCs w:val="24"/>
        </w:rPr>
        <w:t xml:space="preserve">There was substantial to almost perfect </w:t>
      </w:r>
      <w:r w:rsidR="2CC57DB6" w:rsidRPr="00030AAD">
        <w:rPr>
          <w:rFonts w:ascii="Times New Roman" w:eastAsia="Times New Roman" w:hAnsi="Times New Roman" w:cs="Times New Roman"/>
          <w:sz w:val="24"/>
          <w:szCs w:val="24"/>
        </w:rPr>
        <w:t>agreem</w:t>
      </w:r>
      <w:r w:rsidRPr="00030AAD">
        <w:rPr>
          <w:rFonts w:ascii="Times New Roman" w:eastAsia="Times New Roman" w:hAnsi="Times New Roman" w:cs="Times New Roman"/>
          <w:sz w:val="24"/>
          <w:szCs w:val="24"/>
        </w:rPr>
        <w:t>ent between raters for 4 week and 9 week x-rays</w:t>
      </w:r>
      <w:r w:rsidR="2CC57DB6" w:rsidRPr="00030AAD">
        <w:rPr>
          <w:rFonts w:ascii="Times New Roman" w:eastAsia="Times New Roman" w:hAnsi="Times New Roman" w:cs="Times New Roman"/>
          <w:sz w:val="24"/>
          <w:szCs w:val="24"/>
        </w:rPr>
        <w:t xml:space="preserve"> </w:t>
      </w:r>
      <w:r w:rsidRPr="00030AAD">
        <w:rPr>
          <w:rFonts w:ascii="Times New Roman" w:eastAsia="Times New Roman" w:hAnsi="Times New Roman" w:cs="Times New Roman"/>
          <w:sz w:val="24"/>
          <w:szCs w:val="24"/>
        </w:rPr>
        <w:t>(ICC: 0.8 and 0.75, respectively).</w:t>
      </w:r>
      <w:r w:rsidR="0038796A" w:rsidRPr="00030AAD">
        <w:rPr>
          <w:rFonts w:ascii="Times New Roman" w:eastAsia="Times New Roman" w:hAnsi="Times New Roman" w:cs="Times New Roman"/>
          <w:sz w:val="24"/>
          <w:szCs w:val="24"/>
        </w:rPr>
        <w:fldChar w:fldCharType="begin" w:fldLock="1"/>
      </w:r>
      <w:r w:rsidR="00302F26">
        <w:rPr>
          <w:rFonts w:ascii="Times New Roman" w:eastAsia="Times New Roman" w:hAnsi="Times New Roman" w:cs="Times New Roman"/>
          <w:sz w:val="24"/>
          <w:szCs w:val="24"/>
        </w:rPr>
        <w:instrText>ADDIN CSL_CITATION { "citationItems" : [ { "id" : "ITEM-1", "itemData" : { "DOI" : "10.2307/2529310", "ISBN" : "0006341X", "ISSN" : "0006-341X", "PMID" : "843571", "abstract" : "This paper presents a general statistical methodology for the analysis of multivariate categorical data arising from observer reliability studies. The procedure essentially involves the construction of functions of the observed proportions which are directed at the extent to which the observers agree among themselves and the construction of test statistics for hypotheses involving these functions. Tests for interobserver bias are presented in terms of first-order marginal homogeneity and measures of interobserver agreement are developed as generalized kappa-type statistics. These procedures are illustrated with a clinical diagnosis example from the epidemiological literature.", "author" : [ { "dropping-particle" : "", "family" : "Landis", "given" : "J R", "non-dropping-particle" : "", "parse-names" : false, "suffix" : "" }, { "dropping-particle" : "", "family" : "Koch", "given" : "G G", "non-dropping-particle" : "", "parse-names" : false, "suffix" : "" } ], "container-title" : "Biometrics", "id" : "ITEM-1", "issue" : "1", "issued" : { "date-parts" : [ [ "1977", "3" ] ] }, "title" : "The measurement of observer agreement for categorical data.", "type" : "article-journal", "volume" : "33" }, "uris" : [ "http://www.mendeley.com/documents/?uuid=a7e421cd-5761-441c-937c-0ff2e74d602c" ] } ], "mendeley" : { "formattedCitation" : "&lt;sup&gt;34&lt;/sup&gt;", "plainTextFormattedCitation" : "34", "previouslyFormattedCitation" : "&lt;sup&gt;34&lt;/sup&gt;" }, "properties" : { "noteIndex" : 0 }, "schema" : "https://github.com/citation-style-language/schema/raw/master/csl-citation.json" }</w:instrText>
      </w:r>
      <w:r w:rsidR="0038796A" w:rsidRPr="00030AAD">
        <w:rPr>
          <w:rFonts w:ascii="Times New Roman" w:eastAsia="Times New Roman" w:hAnsi="Times New Roman" w:cs="Times New Roman"/>
          <w:sz w:val="24"/>
          <w:szCs w:val="24"/>
        </w:rPr>
        <w:fldChar w:fldCharType="separate"/>
      </w:r>
      <w:r w:rsidR="00030AAD" w:rsidRPr="00030AAD">
        <w:rPr>
          <w:rFonts w:ascii="Times New Roman" w:eastAsia="Times New Roman" w:hAnsi="Times New Roman" w:cs="Times New Roman"/>
          <w:noProof/>
          <w:sz w:val="24"/>
          <w:szCs w:val="24"/>
          <w:vertAlign w:val="superscript"/>
        </w:rPr>
        <w:t>34</w:t>
      </w:r>
      <w:r w:rsidR="0038796A" w:rsidRPr="00030AAD">
        <w:rPr>
          <w:rFonts w:ascii="Times New Roman" w:eastAsia="Times New Roman" w:hAnsi="Times New Roman" w:cs="Times New Roman"/>
          <w:sz w:val="24"/>
          <w:szCs w:val="24"/>
        </w:rPr>
        <w:fldChar w:fldCharType="end"/>
      </w:r>
      <w:r w:rsidRPr="00030AAD">
        <w:rPr>
          <w:rFonts w:ascii="Times New Roman" w:eastAsia="Times New Roman" w:hAnsi="Times New Roman" w:cs="Times New Roman"/>
          <w:sz w:val="24"/>
          <w:szCs w:val="24"/>
        </w:rPr>
        <w:t xml:space="preserve">  </w:t>
      </w:r>
      <w:r w:rsidR="2CC57DB6" w:rsidRPr="00030AAD">
        <w:rPr>
          <w:rFonts w:ascii="Times New Roman" w:eastAsia="Times New Roman" w:hAnsi="Times New Roman" w:cs="Times New Roman"/>
          <w:sz w:val="24"/>
          <w:szCs w:val="24"/>
        </w:rPr>
        <w:t xml:space="preserve">Compared to Blank NP, SIM NP treated rats had significantly higher XR scores at 4 </w:t>
      </w:r>
      <w:proofErr w:type="spellStart"/>
      <w:r w:rsidR="2CC57DB6" w:rsidRPr="00030AAD">
        <w:rPr>
          <w:rFonts w:ascii="Times New Roman" w:eastAsia="Times New Roman" w:hAnsi="Times New Roman" w:cs="Times New Roman"/>
          <w:sz w:val="24"/>
          <w:szCs w:val="24"/>
        </w:rPr>
        <w:t>wks</w:t>
      </w:r>
      <w:proofErr w:type="spellEnd"/>
      <w:r w:rsidR="2CC57DB6" w:rsidRPr="00030AAD">
        <w:rPr>
          <w:rFonts w:ascii="Times New Roman" w:eastAsia="Times New Roman" w:hAnsi="Times New Roman" w:cs="Times New Roman"/>
          <w:sz w:val="24"/>
          <w:szCs w:val="24"/>
        </w:rPr>
        <w:t xml:space="preserve"> (3.0 vs.</w:t>
      </w:r>
      <w:r w:rsidRPr="00030AAD">
        <w:rPr>
          <w:rFonts w:ascii="Times New Roman" w:eastAsia="Times New Roman" w:hAnsi="Times New Roman" w:cs="Times New Roman"/>
          <w:sz w:val="24"/>
          <w:szCs w:val="24"/>
        </w:rPr>
        <w:t xml:space="preserve"> </w:t>
      </w:r>
      <w:r w:rsidR="2CC57DB6" w:rsidRPr="00030AAD">
        <w:rPr>
          <w:rFonts w:ascii="Times New Roman" w:eastAsia="Times New Roman" w:hAnsi="Times New Roman" w:cs="Times New Roman"/>
          <w:sz w:val="24"/>
          <w:szCs w:val="24"/>
        </w:rPr>
        <w:t xml:space="preserve">1.9, p=0.010) and 9 </w:t>
      </w:r>
      <w:proofErr w:type="spellStart"/>
      <w:r w:rsidR="2CC57DB6" w:rsidRPr="00030AAD">
        <w:rPr>
          <w:rFonts w:ascii="Times New Roman" w:eastAsia="Times New Roman" w:hAnsi="Times New Roman" w:cs="Times New Roman"/>
          <w:sz w:val="24"/>
          <w:szCs w:val="24"/>
        </w:rPr>
        <w:t>wks</w:t>
      </w:r>
      <w:proofErr w:type="spellEnd"/>
      <w:r w:rsidR="2CC57DB6" w:rsidRPr="00030AAD">
        <w:rPr>
          <w:rFonts w:ascii="Times New Roman" w:eastAsia="Times New Roman" w:hAnsi="Times New Roman" w:cs="Times New Roman"/>
          <w:sz w:val="24"/>
          <w:szCs w:val="24"/>
        </w:rPr>
        <w:t xml:space="preserve"> (3.6 vs. 1.8, p&lt;0.001). There was no difference between the SIM NP and SIM drug rats at 4 </w:t>
      </w:r>
      <w:proofErr w:type="spellStart"/>
      <w:r w:rsidR="2CC57DB6" w:rsidRPr="00030AAD">
        <w:rPr>
          <w:rFonts w:ascii="Times New Roman" w:eastAsia="Times New Roman" w:hAnsi="Times New Roman" w:cs="Times New Roman"/>
          <w:sz w:val="24"/>
          <w:szCs w:val="24"/>
        </w:rPr>
        <w:t>wks</w:t>
      </w:r>
      <w:proofErr w:type="spellEnd"/>
      <w:r w:rsidR="2CC57DB6" w:rsidRPr="00030AAD">
        <w:rPr>
          <w:rFonts w:ascii="Times New Roman" w:eastAsia="Times New Roman" w:hAnsi="Times New Roman" w:cs="Times New Roman"/>
          <w:sz w:val="24"/>
          <w:szCs w:val="24"/>
        </w:rPr>
        <w:t xml:space="preserve"> but SIM NP rats had a higher XR score at 9 </w:t>
      </w:r>
      <w:proofErr w:type="spellStart"/>
      <w:r w:rsidR="2CC57DB6" w:rsidRPr="00030AAD">
        <w:rPr>
          <w:rFonts w:ascii="Times New Roman" w:eastAsia="Times New Roman" w:hAnsi="Times New Roman" w:cs="Times New Roman"/>
          <w:sz w:val="24"/>
          <w:szCs w:val="24"/>
        </w:rPr>
        <w:t>wks</w:t>
      </w:r>
      <w:proofErr w:type="spellEnd"/>
      <w:r w:rsidR="2CC57DB6" w:rsidRPr="00030AAD">
        <w:rPr>
          <w:rFonts w:ascii="Times New Roman" w:eastAsia="Times New Roman" w:hAnsi="Times New Roman" w:cs="Times New Roman"/>
          <w:sz w:val="24"/>
          <w:szCs w:val="24"/>
        </w:rPr>
        <w:t xml:space="preserve"> (3.6 vs 2.1, p=0.005)</w:t>
      </w:r>
      <w:r w:rsidRPr="00030AAD">
        <w:rPr>
          <w:rFonts w:ascii="Times New Roman" w:eastAsia="Times New Roman" w:hAnsi="Times New Roman" w:cs="Times New Roman"/>
          <w:sz w:val="24"/>
          <w:szCs w:val="24"/>
        </w:rPr>
        <w:t xml:space="preserve"> (</w:t>
      </w:r>
      <w:r w:rsidRPr="00030AAD">
        <w:rPr>
          <w:rFonts w:ascii="Times New Roman" w:eastAsia="Times New Roman" w:hAnsi="Times New Roman" w:cs="Times New Roman"/>
          <w:b/>
          <w:sz w:val="24"/>
          <w:szCs w:val="24"/>
        </w:rPr>
        <w:t xml:space="preserve">Figure </w:t>
      </w:r>
      <w:r w:rsidR="00046515">
        <w:rPr>
          <w:rFonts w:ascii="Times New Roman" w:eastAsia="Times New Roman" w:hAnsi="Times New Roman" w:cs="Times New Roman"/>
          <w:b/>
          <w:sz w:val="24"/>
          <w:szCs w:val="24"/>
        </w:rPr>
        <w:t>6</w:t>
      </w:r>
      <w:r w:rsidRPr="00030AAD">
        <w:rPr>
          <w:rFonts w:ascii="Times New Roman" w:eastAsia="Times New Roman" w:hAnsi="Times New Roman" w:cs="Times New Roman"/>
          <w:sz w:val="24"/>
          <w:szCs w:val="24"/>
        </w:rPr>
        <w:t xml:space="preserve">). </w:t>
      </w:r>
    </w:p>
    <w:p w14:paraId="334BC6AE" w14:textId="77777777" w:rsidR="008355BA" w:rsidRDefault="008355BA" w:rsidP="00F85CDB">
      <w:pP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Manual Assessment of Fusion</w:t>
      </w:r>
    </w:p>
    <w:p w14:paraId="70DE95D4" w14:textId="26E827CE" w:rsidR="00076293" w:rsidRPr="00030AAD" w:rsidRDefault="00AB13D3" w:rsidP="00F85CDB">
      <w:pPr>
        <w:rPr>
          <w:rFonts w:ascii="Times New Roman" w:eastAsia="Times New Roman" w:hAnsi="Times New Roman" w:cs="Times New Roman"/>
          <w:sz w:val="24"/>
          <w:szCs w:val="24"/>
        </w:rPr>
      </w:pPr>
      <w:r w:rsidRPr="00030AAD">
        <w:rPr>
          <w:rFonts w:ascii="Times New Roman" w:eastAsia="Times New Roman" w:hAnsi="Times New Roman" w:cs="Times New Roman"/>
          <w:sz w:val="24"/>
          <w:szCs w:val="24"/>
        </w:rPr>
        <w:t xml:space="preserve">There was substantial agreement between raters for manual assessment of fusion (ICC = 0.73). Spines that were fused had a significantly higher XR score compared to spines that were considered unfused (4.7±0.8 vs. 2.1±0.9, p &lt; 0.001). </w:t>
      </w:r>
      <w:proofErr w:type="spellStart"/>
      <w:r w:rsidRPr="00030AAD">
        <w:rPr>
          <w:rFonts w:ascii="Times New Roman" w:eastAsia="Times New Roman" w:hAnsi="Times New Roman" w:cs="Times New Roman"/>
          <w:sz w:val="24"/>
          <w:szCs w:val="24"/>
        </w:rPr>
        <w:t>SimNP</w:t>
      </w:r>
      <w:proofErr w:type="spellEnd"/>
      <w:r w:rsidRPr="00030AAD">
        <w:rPr>
          <w:rFonts w:ascii="Times New Roman" w:eastAsia="Times New Roman" w:hAnsi="Times New Roman" w:cs="Times New Roman"/>
          <w:sz w:val="24"/>
          <w:szCs w:val="24"/>
        </w:rPr>
        <w:t xml:space="preserve"> rats had the highest fusion rate </w:t>
      </w:r>
      <w:r w:rsidRPr="00030AAD">
        <w:rPr>
          <w:rFonts w:ascii="Times New Roman" w:eastAsia="Times New Roman" w:hAnsi="Times New Roman" w:cs="Times New Roman"/>
          <w:sz w:val="24"/>
          <w:szCs w:val="24"/>
        </w:rPr>
        <w:lastRenderedPageBreak/>
        <w:t xml:space="preserve">(42.9%) and this rate was significantly higher than </w:t>
      </w:r>
      <w:proofErr w:type="spellStart"/>
      <w:r w:rsidRPr="00030AAD">
        <w:rPr>
          <w:rFonts w:ascii="Times New Roman" w:eastAsia="Times New Roman" w:hAnsi="Times New Roman" w:cs="Times New Roman"/>
          <w:sz w:val="24"/>
          <w:szCs w:val="24"/>
        </w:rPr>
        <w:t>BlankNP</w:t>
      </w:r>
      <w:proofErr w:type="spellEnd"/>
      <w:r w:rsidRPr="00030AAD">
        <w:rPr>
          <w:rFonts w:ascii="Times New Roman" w:eastAsia="Times New Roman" w:hAnsi="Times New Roman" w:cs="Times New Roman"/>
          <w:sz w:val="24"/>
          <w:szCs w:val="24"/>
        </w:rPr>
        <w:t xml:space="preserve"> (0%, p=0.006)</w:t>
      </w:r>
      <w:r w:rsidR="00076293" w:rsidRPr="00030AAD">
        <w:rPr>
          <w:rFonts w:ascii="Times New Roman" w:eastAsia="Times New Roman" w:hAnsi="Times New Roman" w:cs="Times New Roman"/>
          <w:sz w:val="24"/>
          <w:szCs w:val="24"/>
        </w:rPr>
        <w:t xml:space="preserve"> (</w:t>
      </w:r>
      <w:r w:rsidR="00076293" w:rsidRPr="00030AAD">
        <w:rPr>
          <w:rFonts w:ascii="Times New Roman" w:eastAsia="Times New Roman" w:hAnsi="Times New Roman" w:cs="Times New Roman"/>
          <w:b/>
          <w:sz w:val="24"/>
          <w:szCs w:val="24"/>
        </w:rPr>
        <w:t>Table 1</w:t>
      </w:r>
      <w:r w:rsidR="00076293" w:rsidRPr="00030AAD">
        <w:rPr>
          <w:rFonts w:ascii="Times New Roman" w:eastAsia="Times New Roman" w:hAnsi="Times New Roman" w:cs="Times New Roman"/>
          <w:sz w:val="24"/>
          <w:szCs w:val="24"/>
        </w:rPr>
        <w:t>)</w:t>
      </w:r>
      <w:r w:rsidRPr="00030AAD">
        <w:rPr>
          <w:rFonts w:ascii="Times New Roman" w:eastAsia="Times New Roman" w:hAnsi="Times New Roman" w:cs="Times New Roman"/>
          <w:sz w:val="24"/>
          <w:szCs w:val="24"/>
        </w:rPr>
        <w:t xml:space="preserve">. There was no difference between the fusion rates for SIM drug and </w:t>
      </w:r>
      <w:proofErr w:type="spellStart"/>
      <w:r w:rsidRPr="00030AAD">
        <w:rPr>
          <w:rFonts w:ascii="Times New Roman" w:eastAsia="Times New Roman" w:hAnsi="Times New Roman" w:cs="Times New Roman"/>
          <w:sz w:val="24"/>
          <w:szCs w:val="24"/>
        </w:rPr>
        <w:t>BlankNP</w:t>
      </w:r>
      <w:proofErr w:type="spellEnd"/>
      <w:r w:rsidRPr="00030AAD">
        <w:rPr>
          <w:rFonts w:ascii="Times New Roman" w:eastAsia="Times New Roman" w:hAnsi="Times New Roman" w:cs="Times New Roman"/>
          <w:sz w:val="24"/>
          <w:szCs w:val="24"/>
        </w:rPr>
        <w:t xml:space="preserve"> (22.2% vs. 0%, p=0.065). </w:t>
      </w:r>
    </w:p>
    <w:p w14:paraId="1A7B8319" w14:textId="77777777" w:rsidR="008355BA" w:rsidRPr="008355BA" w:rsidRDefault="008355BA" w:rsidP="00F85CDB">
      <w:pPr>
        <w:rPr>
          <w:rFonts w:ascii="Times New Roman" w:eastAsia="Times New Roman" w:hAnsi="Times New Roman" w:cs="Times New Roman"/>
          <w:i/>
          <w:sz w:val="24"/>
          <w:szCs w:val="24"/>
          <w:u w:val="single"/>
        </w:rPr>
      </w:pPr>
      <w:r w:rsidRPr="008355BA">
        <w:rPr>
          <w:rFonts w:ascii="Times New Roman" w:eastAsia="Times New Roman" w:hAnsi="Times New Roman" w:cs="Times New Roman"/>
          <w:i/>
          <w:sz w:val="24"/>
          <w:szCs w:val="24"/>
          <w:u w:val="single"/>
        </w:rPr>
        <w:t>Qualitative analysis</w:t>
      </w:r>
    </w:p>
    <w:p w14:paraId="49541A9E" w14:textId="7A0D616A" w:rsidR="00903C78" w:rsidRPr="00030AAD" w:rsidRDefault="00903C78" w:rsidP="00F85CDB">
      <w:pPr>
        <w:rPr>
          <w:rFonts w:ascii="Times New Roman" w:eastAsia="Times New Roman" w:hAnsi="Times New Roman" w:cs="Times New Roman"/>
          <w:sz w:val="24"/>
          <w:szCs w:val="24"/>
        </w:rPr>
      </w:pPr>
      <w:r w:rsidRPr="00030AAD">
        <w:rPr>
          <w:rFonts w:ascii="Times New Roman" w:eastAsia="Times New Roman" w:hAnsi="Times New Roman" w:cs="Times New Roman"/>
          <w:sz w:val="24"/>
          <w:szCs w:val="24"/>
        </w:rPr>
        <w:t xml:space="preserve">Qualitative analysis of the </w:t>
      </w:r>
      <w:proofErr w:type="spellStart"/>
      <w:r w:rsidRPr="00030AAD">
        <w:rPr>
          <w:rFonts w:ascii="Times New Roman" w:eastAsia="Times New Roman" w:hAnsi="Times New Roman" w:cs="Times New Roman"/>
          <w:sz w:val="24"/>
          <w:szCs w:val="24"/>
        </w:rPr>
        <w:t>uCT</w:t>
      </w:r>
      <w:proofErr w:type="spellEnd"/>
      <w:r w:rsidRPr="00030AAD">
        <w:rPr>
          <w:rFonts w:ascii="Times New Roman" w:eastAsia="Times New Roman" w:hAnsi="Times New Roman" w:cs="Times New Roman"/>
          <w:sz w:val="24"/>
          <w:szCs w:val="24"/>
        </w:rPr>
        <w:t xml:space="preserve"> images showed that the SIM-treated animals formed significantly more bone and a more mature fusion mass (</w:t>
      </w:r>
      <w:r w:rsidRPr="00030AAD">
        <w:rPr>
          <w:rFonts w:ascii="Times New Roman" w:eastAsia="Times New Roman" w:hAnsi="Times New Roman" w:cs="Times New Roman"/>
          <w:b/>
          <w:sz w:val="24"/>
          <w:szCs w:val="24"/>
        </w:rPr>
        <w:t xml:space="preserve">Figure </w:t>
      </w:r>
      <w:r w:rsidR="00704A14">
        <w:rPr>
          <w:rFonts w:ascii="Times New Roman" w:eastAsia="Times New Roman" w:hAnsi="Times New Roman" w:cs="Times New Roman"/>
          <w:b/>
          <w:sz w:val="24"/>
          <w:szCs w:val="24"/>
        </w:rPr>
        <w:t>7</w:t>
      </w:r>
      <w:r w:rsidRPr="00030AAD">
        <w:rPr>
          <w:rFonts w:ascii="Times New Roman" w:eastAsia="Times New Roman" w:hAnsi="Times New Roman" w:cs="Times New Roman"/>
          <w:sz w:val="24"/>
          <w:szCs w:val="24"/>
        </w:rPr>
        <w:t>). Histologic slides showed evidence of new bone formation with active remodeling.</w:t>
      </w:r>
    </w:p>
    <w:p w14:paraId="7F21E656" w14:textId="77777777" w:rsidR="00336941" w:rsidRPr="00030AAD" w:rsidRDefault="00336941" w:rsidP="00336941">
      <w:pPr>
        <w:rPr>
          <w:rFonts w:ascii="Times New Roman" w:eastAsia="Times New Roman" w:hAnsi="Times New Roman" w:cs="Times New Roman"/>
          <w:b/>
          <w:sz w:val="24"/>
          <w:szCs w:val="24"/>
        </w:rPr>
      </w:pPr>
    </w:p>
    <w:p w14:paraId="32AF458D" w14:textId="657A0F13" w:rsidR="00336941" w:rsidRPr="005F5A7A" w:rsidRDefault="005F5A7A" w:rsidP="00336941">
      <w:pPr>
        <w:rPr>
          <w:rFonts w:ascii="Times New Roman" w:hAnsi="Times New Roman" w:cs="Times New Roman"/>
          <w:b/>
          <w:sz w:val="24"/>
          <w:szCs w:val="24"/>
          <w:u w:val="single"/>
        </w:rPr>
      </w:pPr>
      <w:r w:rsidRPr="005F5A7A">
        <w:rPr>
          <w:rFonts w:ascii="Times New Roman" w:hAnsi="Times New Roman" w:cs="Times New Roman"/>
          <w:b/>
          <w:sz w:val="24"/>
          <w:szCs w:val="24"/>
          <w:u w:val="single"/>
        </w:rPr>
        <w:t>DISCUSSION</w:t>
      </w:r>
    </w:p>
    <w:p w14:paraId="090BF5A9" w14:textId="57745DCD" w:rsidR="00336941" w:rsidRPr="00030AAD" w:rsidRDefault="00336941" w:rsidP="00336941">
      <w:pPr>
        <w:tabs>
          <w:tab w:val="left" w:pos="-720"/>
          <w:tab w:val="left" w:pos="1800"/>
        </w:tabs>
        <w:suppressAutoHyphens/>
        <w:jc w:val="both"/>
        <w:rPr>
          <w:rFonts w:ascii="Times New Roman" w:hAnsi="Times New Roman" w:cs="Times New Roman"/>
          <w:spacing w:val="-3"/>
          <w:sz w:val="24"/>
          <w:szCs w:val="24"/>
        </w:rPr>
      </w:pPr>
      <w:r w:rsidRPr="00030AAD">
        <w:rPr>
          <w:rFonts w:ascii="Times New Roman" w:hAnsi="Times New Roman" w:cs="Times New Roman"/>
          <w:spacing w:val="-3"/>
          <w:sz w:val="24"/>
          <w:szCs w:val="24"/>
        </w:rPr>
        <w:t>Statins have long been used as potent inhibitors of cholesterol biosynthesis and have a well-established role in lowering the risk of coronary artery disease</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"S1043-6618(14)00025-5 [pii]", "ISBN" : "1096-1186", "PMID" : "24657242", "abstract" : "Statins, inhibitors of the hydroxymethylglutaryl-CoA (HMG-CoA) reductase enzyme, are molecules of fungal origin. By inhibiting a key step in the sterol biosynthetic pathway statins are powerful cholesterol lowering medications and have provided outstanding contributions to the prevention of cardiovascular disease. Their detection in mycetes traces back to close to 40 years ago: there were, originally, widely opposing views on their therapeutic potential. From then on, intensive pharmaceutical development has led to the final availability in the clinic of seven statin molecules, characterized by differences in bioavailability, lipo/hydrophilicity, cytochrome P-450 mediated metabolism and cellular transport mechanisms. These differences are reflected in their relative power (mg LDL-cholesterol reduction per mg dose) and possibly in parenchymal or muscular toxicities. The impact of the antagonism of statins on a crucial step of intermediary metabolism leads, in fact, both to a reduction of cholesterol biosynthesis as well as to additional pharmacodynamic (so called \"pleiotropic\") effects. In the face of an extraordinary clinical success, the emergence of some side effects, e.g. raised incidence of diabetes and cataracts as well as frequent muscular side effects, have led to increasing concern by physicians. However, also in view of the present relatively low cost of these drugs, their impact on daily therapy of vascular patients is unlikely to change.", "author" : [ { "dropping-particle" : "", "family" : "Sirtori", "given" : "C R", "non-dropping-particle" : "", "parse-names" : false, "suffix" : "" } ], "container-title" : "Pharmacological research : the official journal of the Italian Pharmacological Society", "id" : "ITEM-1", "issued" : { "date-parts" : [ [ "2014", "3" ] ] }, "note" : "CI: Copyright (c) 2014; JID: 8907422; OTO: NOTNLM; 2013/12/10 [received]; 2014/03/03 [revised]; 2014/03/04 [accepted]; aheadofprint", "title" : "The pharmacology of statins", "type" : "article-journal" }, "uris" : [ "http://www.mendeley.com/documents/?uuid=f8962bf6-6944-4bef-b701-17d18e1d562d" ] } ], "mendeley" : { "formattedCitation" : "&lt;sup&gt;35&lt;/sup&gt;", "plainTextFormattedCitation" : "35", "previouslyFormattedCitation" : "&lt;sup&gt;35&lt;/sup&gt;"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35</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More recently, statins were found to have a bone anabolic effect. Mundy and colleagues</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"8029 [pii]", "ISBN" : "0036-8075", "PMID" : "10583956", "abstract" : "Osteoporosis and other diseases of bone loss are a major public health problem. Here it is shown that the statins, drugs widely used for lowering serum cholesterol, also enhance new bone formation in vitro and in rodents. This effect was associated with increased expression of the bone morphogenetic protein-2 (BMP-2) gene in bone cells. Lovastatin and simvastatin increased bone formation when injected subcutaneously over the calvaria of mice and increased cancellous bone volume when orally administered to rats. Thus, in appropriate doses, statins may have therapeutic applications for the treatment of osteoporosis.", "author" : [ { "dropping-particle" : "", "family" : "Mundy", "given" : "G", "non-dropping-particle" : "", "parse-names" : false, "suffix" : "" }, { "dropping-particle" : "", "family" : "Garrett", "given" : "R", "non-dropping-particle" : "", "parse-names" : false, "suffix" : "" }, { "dropping-particle" : "", "family" : "Harris", "given" : "S", "non-dropping-particle" : "", "parse-names" : false, "suffix" : "" }, { "dropping-particle" : "", "family" : "Chan", "given" : "J", "non-dropping-particle" : "", "parse-names" : false, "suffix" : "" }, { "dropping-particle" : "", "family" : "Chen", "given" : "D", "non-dropping-particle" : "", "parse-names" : false, "suffix" : "" }, { "dropping-particle" : "", "family" : "Rossini", "given" : "G", "non-dropping-particle" : "", "parse-names" : false, "suffix" : "" }, { "dropping-particle" : "", "family" : "Boyce", "given" : "B", "non-dropping-particle" : "", "parse-names" : false, "suffix" : "" }, { "dropping-particle" : "", "family" : "Zhao", "given" : "M", "non-dropping-particle" : "", "parse-names" : false, "suffix" : "" }, { "dropping-particle" : "", "family" : "Gutierrez", "given" : "G", "non-dropping-particle" : "", "parse-names" : false, "suffix" : "" } ], "container-title" : "Science (New York, N.Y.)", "id" : "ITEM-1", "issue" : "5446", "issued" : { "date-parts" : [ [ "1999", "12" ] ] }, "note" : "LR: 20131121; JID: 0404511; 0 (BMP2 protein, human); 0 (Bmp2 protein, mouse); 0 (Bmp2 protein, rat); 0 (Bone Morphogenetic Protein 2); 0 (Bone Morphogenetic Proteins); 0 (Hydroxymethylglutaryl-CoA Reductase Inhibitors); 0 (Recombinant Proteins); 0 (Transforming Growth Factor beta); 0 (recombinant human bone morphogenetic protein-2); 103107-01-3 (Fibroblast Growth Factor 2); 104781-85-3 (Fibroblast Growth Factor 1); 9LHU78OQFD (Lovastatin); AGG2FN16EV (Simvastatin); CIN: Science. 1999 Dec 3;286(5446):1825-6. PMID: 10610568; ppublish", "page" : "1946-1949", "title" : "Stimulation of bone formation in vitro and in rodents by statins", "type" : "article-journal", "volume" : "286" }, "uris" : [ "http://www.mendeley.com/documents/?uuid=a3ea7fc0-8226-4b44-9927-5128b6f5f10c" ] } ], "mendeley" : { "formattedCitation" : "&lt;sup&gt;18&lt;/sup&gt;", "plainTextFormattedCitation" : "18", "previouslyFormattedCitation" : "&lt;sup&gt;18&lt;/sup&gt;"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18</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first published a report in 1999 of a drug screen searching for small molecules that would activate the promoter of the BMP-2 gene.  In a screen of over 30,000 compounds, they </w:t>
      </w:r>
      <w:r w:rsidR="00C85AEB" w:rsidRPr="00030AAD">
        <w:rPr>
          <w:rFonts w:ascii="Times New Roman" w:hAnsi="Times New Roman" w:cs="Times New Roman"/>
          <w:spacing w:val="-3"/>
          <w:sz w:val="24"/>
          <w:szCs w:val="24"/>
        </w:rPr>
        <w:t>identified</w:t>
      </w:r>
      <w:r w:rsidRPr="00030AAD">
        <w:rPr>
          <w:rFonts w:ascii="Times New Roman" w:hAnsi="Times New Roman" w:cs="Times New Roman"/>
          <w:spacing w:val="-3"/>
          <w:sz w:val="24"/>
          <w:szCs w:val="24"/>
        </w:rPr>
        <w:t xml:space="preserve"> lovastatin as specifically increasing the activity of the BMP-2 promoter as characterized by a firefly luciferase reporter gene. The investigators then conducted both </w:t>
      </w:r>
      <w:r w:rsidRPr="00030AAD">
        <w:rPr>
          <w:rFonts w:ascii="Times New Roman" w:hAnsi="Times New Roman" w:cs="Times New Roman"/>
          <w:i/>
          <w:spacing w:val="-3"/>
          <w:sz w:val="24"/>
          <w:szCs w:val="24"/>
        </w:rPr>
        <w:t xml:space="preserve">in vitro </w:t>
      </w:r>
      <w:r w:rsidRPr="00030AAD">
        <w:rPr>
          <w:rFonts w:ascii="Times New Roman" w:hAnsi="Times New Roman" w:cs="Times New Roman"/>
          <w:spacing w:val="-3"/>
          <w:sz w:val="24"/>
          <w:szCs w:val="24"/>
        </w:rPr>
        <w:t xml:space="preserve">and </w:t>
      </w:r>
      <w:r w:rsidRPr="00030AAD">
        <w:rPr>
          <w:rFonts w:ascii="Times New Roman" w:hAnsi="Times New Roman" w:cs="Times New Roman"/>
          <w:i/>
          <w:spacing w:val="-3"/>
          <w:sz w:val="24"/>
          <w:szCs w:val="24"/>
        </w:rPr>
        <w:t>in vivo</w:t>
      </w:r>
      <w:r w:rsidRPr="00030AAD">
        <w:rPr>
          <w:rFonts w:ascii="Times New Roman" w:hAnsi="Times New Roman" w:cs="Times New Roman"/>
          <w:spacing w:val="-3"/>
          <w:sz w:val="24"/>
          <w:szCs w:val="24"/>
        </w:rPr>
        <w:t xml:space="preserve"> experiments using murine </w:t>
      </w:r>
      <w:proofErr w:type="spellStart"/>
      <w:r w:rsidRPr="00030AAD">
        <w:rPr>
          <w:rFonts w:ascii="Times New Roman" w:hAnsi="Times New Roman" w:cs="Times New Roman"/>
          <w:spacing w:val="-3"/>
          <w:sz w:val="24"/>
          <w:szCs w:val="24"/>
        </w:rPr>
        <w:t>calvaria</w:t>
      </w:r>
      <w:proofErr w:type="spellEnd"/>
      <w:r w:rsidRPr="00030AAD">
        <w:rPr>
          <w:rFonts w:ascii="Times New Roman" w:hAnsi="Times New Roman" w:cs="Times New Roman"/>
          <w:spacing w:val="-3"/>
          <w:sz w:val="24"/>
          <w:szCs w:val="24"/>
        </w:rPr>
        <w:t xml:space="preserve"> and, upon injection of various forms of statins, found an increase in new bone formation similar to that seen after treatment with FGF-1 and BMP-2</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"8029 [pii]", "ISBN" : "0036-8075", "PMID" : "10583956", "abstract" : "Osteoporosis and other diseases of bone loss are a major public health problem. Here it is shown that the statins, drugs widely used for lowering serum cholesterol, also enhance new bone formation in vitro and in rodents. This effect was associated with increased expression of the bone morphogenetic protein-2 (BMP-2) gene in bone cells. Lovastatin and simvastatin increased bone formation when injected subcutaneously over the calvaria of mice and increased cancellous bone volume when orally administered to rats. Thus, in appropriate doses, statins may have therapeutic applications for the treatment of osteoporosis.", "author" : [ { "dropping-particle" : "", "family" : "Mundy", "given" : "G", "non-dropping-particle" : "", "parse-names" : false, "suffix" : "" }, { "dropping-particle" : "", "family" : "Garrett", "given" : "R", "non-dropping-particle" : "", "parse-names" : false, "suffix" : "" }, { "dropping-particle" : "", "family" : "Harris", "given" : "S", "non-dropping-particle" : "", "parse-names" : false, "suffix" : "" }, { "dropping-particle" : "", "family" : "Chan", "given" : "J", "non-dropping-particle" : "", "parse-names" : false, "suffix" : "" }, { "dropping-particle" : "", "family" : "Chen", "given" : "D", "non-dropping-particle" : "", "parse-names" : false, "suffix" : "" }, { "dropping-particle" : "", "family" : "Rossini", "given" : "G", "non-dropping-particle" : "", "parse-names" : false, "suffix" : "" }, { "dropping-particle" : "", "family" : "Boyce", "given" : "B", "non-dropping-particle" : "", "parse-names" : false, "suffix" : "" }, { "dropping-particle" : "", "family" : "Zhao", "given" : "M", "non-dropping-particle" : "", "parse-names" : false, "suffix" : "" }, { "dropping-particle" : "", "family" : "Gutierrez", "given" : "G", "non-dropping-particle" : "", "parse-names" : false, "suffix" : "" } ], "container-title" : "Science (New York, N.Y.)", "id" : "ITEM-1", "issue" : "5446", "issued" : { "date-parts" : [ [ "1999", "12" ] ] }, "note" : "LR: 20131121; JID: 0404511; 0 (BMP2 protein, human); 0 (Bmp2 protein, mouse); 0 (Bmp2 protein, rat); 0 (Bone Morphogenetic Protein 2); 0 (Bone Morphogenetic Proteins); 0 (Hydroxymethylglutaryl-CoA Reductase Inhibitors); 0 (Recombinant Proteins); 0 (Transforming Growth Factor beta); 0 (recombinant human bone morphogenetic protein-2); 103107-01-3 (Fibroblast Growth Factor 2); 104781-85-3 (Fibroblast Growth Factor 1); 9LHU78OQFD (Lovastatin); AGG2FN16EV (Simvastatin); CIN: Science. 1999 Dec 3;286(5446):1825-6. PMID: 10610568; ppublish", "page" : "1946-1949", "title" : "Stimulation of bone formation in vitro and in rodents by statins", "type" : "article-journal", "volume" : "286" }, "uris" : [ "http://www.mendeley.com/documents/?uuid=a3ea7fc0-8226-4b44-9927-5128b6f5f10c" ] } ], "mendeley" : { "formattedCitation" : "&lt;sup&gt;18&lt;/sup&gt;", "plainTextFormattedCitation" : "18", "previouslyFormattedCitation" : "&lt;sup&gt;18&lt;/sup&gt;"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18</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w:t>
      </w:r>
    </w:p>
    <w:p w14:paraId="2ADC1A28" w14:textId="6945F57D" w:rsidR="00336941" w:rsidRPr="00030AAD" w:rsidRDefault="00336941" w:rsidP="00336941">
      <w:pPr>
        <w:tabs>
          <w:tab w:val="left" w:pos="-720"/>
          <w:tab w:val="left" w:pos="1800"/>
        </w:tabs>
        <w:suppressAutoHyphens/>
        <w:jc w:val="both"/>
        <w:rPr>
          <w:rFonts w:ascii="Times New Roman" w:hAnsi="Times New Roman" w:cs="Times New Roman"/>
          <w:spacing w:val="-3"/>
          <w:sz w:val="24"/>
          <w:szCs w:val="24"/>
        </w:rPr>
      </w:pPr>
      <w:r w:rsidRPr="00030AAD">
        <w:rPr>
          <w:rFonts w:ascii="Times New Roman" w:hAnsi="Times New Roman" w:cs="Times New Roman"/>
          <w:spacing w:val="-3"/>
          <w:sz w:val="24"/>
          <w:szCs w:val="24"/>
        </w:rPr>
        <w:t>These findings have spurred significant research interest, and subsequent work has elucidated the mechanism by which statins may assist in new bone formation</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"10.1042/BSR20110118 [doi]", "ISBN" : "1573-4935", "PMID" : "22799752", "abstract" : "Osteoporosis is a common disease in the elderly population. The progress of this disease results in the reduction of bone mass and can increase the incidence of fractures. Drugs presently used clinically can block the aggravation of this disease. However, these drugs cannot increase the bone mass and may result in certain side effects. Statins, also known as HMG-CoA (3-hydroxy-3-methylglutaryl-CoA) reductase inhibitors, have been widely prescribed for CVD (cardiovascular disease) for decades. Nonetheless, several studies have demonstrated that statins exert bone anabolic effect and may be helpful for the treatment of osteoporosis. Several experiments have analysed the mechanisms of bone anabolism regulated by statins. In the present paper, we review the mechanisms of promoting osteogenesis, suppressing osteoblast apoptosis and inhibiting osteoclastogenesis.", "author" : [ { "dropping-particle" : "", "family" : "Ruan", "given" : "F", "non-dropping-particle" : "", "parse-names" : false, "suffix" : "" }, { "dropping-particle" : "", "family" : "Zheng", "given" : "Q", "non-dropping-particle" : "", "parse-names" : false, "suffix" : "" }, { "dropping-particle" : "", "family" : "Wang", "given" : "J", "non-dropping-particle" : "", "parse-names" : false, "suffix" : "" } ], "container-title" : "Bioscience reports", "id" : "ITEM-1", "issue" : "6", "issued" : { "date-parts" : [ [ "2012", "12" ] ] }, "note" : "LR: 20131115; JID: 8102797; 0 (Hydroxymethylglutaryl-CoA Reductase Inhibitors); OID: NLM: PMC3499024; ppublish", "page" : "511-519", "title" : "Mechanisms of bone anabolism regulated by statins", "type" : "article-journal", "volume" : "32" }, "uris" : [ "http://www.mendeley.com/documents/?uuid=7f9ab121-e217-4f4f-bcc8-75f758903ec4" ] }, { "id" : "ITEM-2", "itemData" : { "DOI" : "10.1055/s-0028-1082051 [doi]", "ISBN" : "0018-5043", "PMID" : "18622892", "abstract" : "Statins possess pleiotropic effects in several tissues. Among them, their bone anabolic actions have been recently noted. We have proposed that Smad3, a TGF-beta-signaling molecule, is a promoter of bone formation. However, whether statins would affect TGF-beta-Smad3 pathway in osteoblasts is still unknown. The present study was performed to examine the effects of statin on Smad3 expression and cell apoptosis by employing mouse osteoblastic MC3T3-E1 and rat osteoblastic UMR-106 cells. Statins (pitavastatin, mevastatin, and simvastatin) as well as alendronate increased the levels of Smad3 in MC3T3-E1 cells. The effects of pitavastatin on Smad3 levels were observed from 3 hours and later. Pitavastatin induced the expression of TGF-beta, and cycloheximide, a protein synthesis inhibitor, antagonized the increased levels of pitavastatin on Smad3. On the other hand, pitavastatin antagonized dexamethasone- or etoposide-induced apoptosis in a dose-dependent manner, and Smad3 inactivation by dominant negative Smad3 or an inhibition of endogenous TGF-beta action by SB431542 antagonized anti-apoptotic effects of pitavastatin, indicating that pitavastatin suppressed osteoblast apoptosis partly through TGF-beta-Smad3 pathway. In conclusion, the present study has demonstrated for the first time that statin suppressed cell apoptosis partly through TGF-beta-Smad3 pathway in osteoblastic cells.", "author" : [ { "dropping-particle" : "", "family" : "Kaji", "given" : "H", "non-dropping-particle" : "", "parse-names" : false, "suffix" : "" }, { "dropping-particle" : "", "family" : "Naito", "given" : "J", "non-dropping-particle" : "", "parse-names" : false, "suffix" : "" }, { "dropping-particle" : "", "family" : "Inoue", "given" : "Y", "non-dropping-particle" : "", "parse-names" : false, "suffix" : "" }, { "dropping-particle" : "", "family" : "Sowa", "given" : "H", "non-dropping-particle" : "", "parse-names" : false, "suffix" : "" }, { "dropping-particle" : "", "family" : "Sugimoto", "given" : "T", "non-dropping-particle" : "", "parse-names" : false, "suffix" : "" }, { "dropping-particle" : "", "family" : "Chihara", "given" : "K", "non-dropping-particle" : "", "parse-names" : false, "suffix" : "" } ], "container-title" : "Hormone and metabolic research = Hormon- und Stoffwechselforschung = Hormones et metabolisme", "id" : "ITEM-2", "issue" : "11", "issued" : { "date-parts" : [ [ "2008", "11" ] ] }, "note" : "LR: 20131121; JID: 0177722; 0 (Hydroxymethylglutaryl-CoA Reductase Inhibitors); 0 (Quinolines); 0 (Smad3 Protein); 0 (Transforming Growth Factor beta); 1UQM1K0W9X (mevastatin); 9LHU78OQFD (Lovastatin); AGG2FN16EV (Simvastatin); M5681Q5F9P (pitavastatin); X1J18R4W8P (Alendronate); 2008/07/11 [epublish]; 2008/07/11 [aheadofprint]; ppublish", "page" : "746-751", "title" : "Statin suppresses apoptosis in osteoblastic cells: role of transforming growth factor-beta-Smad3 pathway", "type" : "article-journal", "volume" : "40" }, "uris" : [ "http://www.mendeley.com/documents/?uuid=941d3c13-acbb-48f4-819b-b417a90488ff" ] }, { "id" : "ITEM-3", "itemData" : { "DOI" : "M606706200 [pii]", "ISBN" : "0021-9258", "PMID" : "17179158", "abstract" : "Lovastatin promotes osteoblast differentiation by increasing bone morphogenetic protein-2 (BMP-2) expression. We demonstrate that lovastatin stimulates tyrosine phosphorylation of the p85 regulatory subunit of phosphatidylinositol 3-kinase (PI3K), leading to an increase in its kinase activity in osteoblast cells. Inhibition of PI3K ameliorated expression of the osteogenic markers alkaline phosphatase, type I collagen, osteopontin, and BMP-2. Expression of dominant-negative PI3K and PTEN, an inhibitor of PI3K signaling, significantly attenuated lovastatin-induced transcription of BMP-2. Akt kinase was also activated in a PI3K-dependent manner. However, our data suggest involvement of an additional signaling pathway. Lovastatin-induced Erk1/2 activity contributed to BMP-2 transcription. Inhibition of PI3K abrogated Erk1/2 activity in response to lovastatin, indicating the presence of a signal relay between them. We provide, as a mechanism of this cross-talk, the first evidence that lovastatin stimulates rapid activation of Ras, which associates with and activates PI3K in the plasma membrane, which in turn regulates Akt and Erk1/2 to induce BMP-2 expression for osteoblast differentiation.", "author" : [ { "dropping-particle" : "", "family" : "Ghosh-Choudhury", "given" : "N", "non-dropping-particle" : "", "parse-names" : false, "suffix" : "" }, { "dropping-particle" : "", "family" : "Mandal", "given" : "C C", "non-dropping-particle" : "", "parse-names" : false, "suffix" : "" }, { "dropping-particle" : "", "family" : "Choudhury", "given" : "G G", "non-dropping-particle" : "", "parse-names" : false, "suffix" : "" } ], "container-title" : "The Journal of biological chemistry", "id" : "ITEM-3", "issue" : "7", "issued" : { "date-parts" : [ [ "2007", "2" ] ] }, "note" : "LR: 20131121; GR: R01 AR52425/AR/NIAMS NIH HHS/United States; JID: 2985121R; 0 (Anticholesteremic Agents); 0 (Antigens, Differentiation); 0 (Bmp2 protein, mouse); 0 (Bone Morphogenetic Protein 2); 0 (Bone Morphogenetic Proteins); 0 (Transforming Growth Factor beta); 9LHU78OQFD (Lovastatin); EC 2.7.1.- (Phosphatidylinositol 3-Kinases); EC 2.7.11.1 (Oncogene Protein v-akt); EC 2.7.11.24 (Mitogen-Activated Protein Kinase 1); EC 2.7.11.24 (Mitogen-Activated Protein Kinase 3); EC 3.1.3.48 (Pten protein, mouse); EC 3.1.3.67 (PTEN Phosphohydrolase); 2006/12/19 [aheadofprint]; ppublish", "page" : "4983-4993", "title" : "Statin-induced Ras activation integrates the phosphatidylinositol 3-kinase signal to Akt and MAPK for bone morphogenetic protein-2 expression in osteoblast differentiation", "type" : "article-journal", "volume" : "282" }, "uris" : [ "http://www.mendeley.com/documents/?uuid=2befeaaf-42f9-4058-91bb-586ae547327f" ] }, { "id" : "ITEM-4", "itemData" : { "DOI" : "10.1055/s-2005-870538 [doi]", "ISBN" : "0018-5043", "PMID" : "16278780", "abstract" : "Statins stimulate bone formation partly by inducing osteoblast differentiation, although there is controversy about the effects of statins on bone mineral density and fracture risk. Several studies have revealed that statins suppress bone resorption. However, the mechanism by which statins inhibit bone resorption is still unclear. The present study was performed to clarify the effects of statins on osteoclast formation as well as the levels of osteoprotegerin (OPG) and receptor activator of NFkappaB ligand (RANKL) mRNA in mouse bone-cell cultures by semiquantitative RT-PCR. 10(-8) M 1,25-dihydroxyvitamin D3 [1,25(OH)2D3] significantly stimulated osteoclast formation and 10(-6) M statins (mevastatin and simvastatin) significantly antagonized osteoclast formation stimulated by 1,25(OH)2D3 in mouse bone-cell cultures, including both osteoblasts and osteoclasts. 10(-6) M mevastatin and simvastatin increased the level of OPG mRNA in mouse bone-cell cultures. On the other hand, 10(-6) M mevastatin and simvastatin inhibited the level of RANKL mRNA in these cultures. In conclusion, the present study demonstrates that statins inhibit osteoclast formation in mouse bone-cell cultures. Moreover, statins also increased and decreased the levels of OPG and RANKL mRNA expression in these cultures, respectively. The modulation of OPG/RANKL may be involved in the inhibition of osteoclast formation by statins.", "author" : [ { "dropping-particle" : "", "family" : "Kaji", "given" : "H", "non-dropping-particle" : "", "parse-names" : false, "suffix" : "" }, { "dropping-particle" : "", "family" : "Kanatani", "given" : "M", "non-dropping-particle" : "", "parse-names" : false, "suffix" : "" }, { "dropping-particle" : "", "family" : "Sugimoto", "given" : "T", "non-dropping-particle" : "", "parse-names" : false, "suffix" : "" }, { "dropping-particle" : "", "family" : "Chihara", "given" : "K", "non-dropping-particle" : "", "parse-names" : false, "suffix" : "" } ], "container-title" : "Hormone and metabolic research = Hormon- und Stoffwechselforschung = Hormones et metabolisme", "id" : "ITEM-4", "issue" : "10", "issued" : { "date-parts" : [ [ "2005", "10" ] ] }, "note" : "LR: 20131121; JID: 0177722; 0 (Carrier Proteins); 0 (Glycoproteins); 0 (Membrane Glycoproteins); 0 (Osteoprotegerin); 0 (RANK Ligand); 0 (RNA, Messenger); 0 (Receptor Activator of Nuclear Factor-kappa B); 0 (Receptors, Cytoplasmic and Nuclear); 0 (Receptors, Tumor Necrosis Factor); 0 (Tnfrsf11a protein, mouse); 0 (Tnfrsf11b protein, mouse); 0 (Tnfsf11 protein, mouse); 1UQM1K0W9X (mevastatin); 9LHU78OQFD (Lovastatin); AGG2FN16EV (Simvastatin); FXC9231JVH (Calcitriol); ppublish", "page" : "589-592", "title" : "Statins modulate the levels of osteoprotegerin/receptor activator of NFkappaB ligand mRNA in mouse bone-cell cultures", "type" : "article-journal", "volume" : "37" }, "uris" : [ "http://www.mendeley.com/documents/?uuid=9478f649-f675-4d0e-8f0a-bd6433c4dd92" ] }, { "id" : "ITEM-5", "itemData" : { "DOI" : "8029 [pii]", "ISBN" : "0036-8075", "PMID" : "10583956", "abstract" : "Osteoporosis and other diseases of bone loss are a major public health problem. Here it is shown that the statins, drugs widely used for lowering serum cholesterol, also enhance new bone formation in vitro and in rodents. This effect was associated with increased expression of the bone morphogenetic protein-2 (BMP-2) gene in bone cells. Lovastatin and simvastatin increased bone formation when injected subcutaneously over the calvaria of mice and increased cancellous bone volume when orally administered to rats. Thus, in appropriate doses, statins may have therapeutic applications for the treatment of osteoporosis.", "author" : [ { "dropping-particle" : "", "family" : "Mundy", "given" : "G", "non-dropping-particle" : "", "parse-names" : false, "suffix" : "" }, { "dropping-particle" : "", "family" : "Garrett", "given" : "R", "non-dropping-particle" : "", "parse-names" : false, "suffix" : "" }, { "dropping-particle" : "", "family" : "Harris", "given" : "S", "non-dropping-particle" : "", "parse-names" : false, "suffix" : "" }, { "dropping-particle" : "", "family" : "Chan", "given" : "J", "non-dropping-particle" : "", "parse-names" : false, "suffix" : "" }, { "dropping-particle" : "", "family" : "Chen", "given" : "D", "non-dropping-particle" : "", "parse-names" : false, "suffix" : "" }, { "dropping-particle" : "", "family" : "Rossini", "given" : "G", "non-dropping-particle" : "", "parse-names" : false, "suffix" : "" }, { "dropping-particle" : "", "family" : "Boyce", "given" : "B", "non-dropping-particle" : "", "parse-names" : false, "suffix" : "" }, { "dropping-particle" : "", "family" : "Zhao", "given" : "M", "non-dropping-particle" : "", "parse-names" : false, "suffix" : "" }, { "dropping-particle" : "", "family" : "Gutierrez", "given" : "G", "non-dropping-particle" : "", "parse-names" : false, "suffix" : "" } ], "container-title" : "Science (New York, N.Y.)", "id" : "ITEM-5", "issue" : "5446", "issued" : { "date-parts" : [ [ "1999", "12" ] ] }, "note" : "LR: 20131121; JID: 0404511; 0 (BMP2 protein, human); 0 (Bmp2 protein, mouse); 0 (Bmp2 protein, rat); 0 (Bone Morphogenetic Protein 2); 0 (Bone Morphogenetic Proteins); 0 (Hydroxymethylglutaryl-CoA Reductase Inhibitors); 0 (Recombinant Proteins); 0 (Transforming Growth Factor beta); 0 (recombinant human bone morphogenetic protein-2); 103107-01-3 (Fibroblast Growth Factor 2); 104781-85-3 (Fibroblast Growth Factor 1); 9LHU78OQFD (Lovastatin); AGG2FN16EV (Simvastatin); CIN: Science. 1999 Dec 3;286(5446):1825-6. PMID: 10610568; ppublish", "page" : "1946-1949", "title" : "Stimulation of bone formation in vitro and in rodents by statins", "type" : "article-journal", "volume" : "286" }, "uris" : [ "http://www.mendeley.com/documents/?uuid=a3ea7fc0-8226-4b44-9927-5128b6f5f10c" ] }, { "id" : "ITEM-6", "itemData" : { "ISBN" : "1109-3099", "PMID" : "22801558", "abstract" : "Osteoporosis is a major health problem affecting both men and women. Statins, besides their action as lipid-lowering agents, seem to have additional pleiotropic properties, among them a beneficial effect on bone mineral density. The entirety of experimental and the majority of clinical studies as well as the only relevant meta-analysis suggest that statins have an anabolic effect on bone metabolism. Statins, osteoporosis and adipogenesis share the same pathway, RANKL/OPG. It would appear that an imbalance in this pathway could be responsible for the manifestation of some metabolic disorders such as diabetes mellitus, atherogenesis, multiple myeloma, osteoporosis. Possibly in the future, drugs which can intervene in this biochemical and pathophysiological cascade, like statins, in a variety of doses, could be used for the management of ectopic ossification syndromes and other bone disorders, even as an additive treatment. Until then, further large longitudinal randomized controlled studies for each statin separately are required to confirm this hypothesis.", "author" : [ { "dropping-particle" : "", "family" : "Tsartsalis", "given" : "A N", "non-dropping-particle" : "", "parse-names" : false, "suffix" : "" }, { "dropping-particle" : "", "family" : "Dokos", "given" : "C", "non-dropping-particle" : "", "parse-names" : false, "suffix" : "" }, { "dropping-particle" : "", "family" : "Kaiafa", "given" : "G D", "non-dropping-particle" : "", "parse-names" : false, "suffix" : "" }, { "dropping-particle" : "", "family" : "Tsartsalis", "given" : "D N", "non-dropping-particle" : "", "parse-names" : false, "suffix" : "" }, { "dropping-particle" : "", "family" : "Kattamis", "given" : "A", "non-dropping-particle" : "", "parse-names" : false, "suffix" : "" }, { "dropping-particle" : "", "family" : "Hatzitolios", "given" : "A I", "non-dropping-particle" : "", "parse-names" : false, "suffix" : "" }, { "dropping-particle" : "", "family" : "Savopoulos", "given" : "C G", "non-dropping-particle" : "", "parse-names" : false, "suffix" : "" } ], "container-title" : "Hormones (Athens, Greece)", "id" : "ITEM-6", "issue" : "2", "issued" : { "date-parts" : [ [ "2012" ] ] }, "note" : "LR: 20131121; JID: 101142469; 0 (Hypolipidemic Agents); 0 (RANK Ligand); 0 (TNFSF11 protein, human); AGG2FN16EV (Simvastatin); ppublish", "page" : "126-139", "title" : "Statins, bone formation and osteoporosis: hope or hype?", "type" : "article-journal", "volume" : "11" }, "uris" : [ "http://www.mendeley.com/documents/?uuid=dd63e79e-6993-4786-8789-6348812aa31e" ] } ], "mendeley" : { "formattedCitation" : "&lt;sup&gt;18\u201322,36&lt;/sup&gt;", "plainTextFormattedCitation" : "18\u201322,36", "previouslyFormattedCitation" : "&lt;sup&gt;18\u201322,36&lt;/sup&gt;"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18–22,36</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The current thought is that statins function both by increasing osteoblast differentiation and interfering with osteoclast function. The anabolic effect of statins is believed to be mediated primarily by activation of MAPK and upregulation of the BMP-2 and Runx2 pathway</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"8029 [pii]", "ISBN" : "0036-8075", "PMID" : "10583956", "abstract" : "Osteoporosis and other diseases of bone loss are a major public health problem. Here it is shown that the statins, drugs widely used for lowering serum cholesterol, also enhance new bone formation in vitro and in rodents. This effect was associated with increased expression of the bone morphogenetic protein-2 (BMP-2) gene in bone cells. Lovastatin and simvastatin increased bone formation when injected subcutaneously over the calvaria of mice and increased cancellous bone volume when orally administered to rats. Thus, in appropriate doses, statins may have therapeutic applications for the treatment of osteoporosis.", "author" : [ { "dropping-particle" : "", "family" : "Mundy", "given" : "G", "non-dropping-particle" : "", "parse-names" : false, "suffix" : "" }, { "dropping-particle" : "", "family" : "Garrett", "given" : "R", "non-dropping-particle" : "", "parse-names" : false, "suffix" : "" }, { "dropping-particle" : "", "family" : "Harris", "given" : "S", "non-dropping-particle" : "", "parse-names" : false, "suffix" : "" }, { "dropping-particle" : "", "family" : "Chan", "given" : "J", "non-dropping-particle" : "", "parse-names" : false, "suffix" : "" }, { "dropping-particle" : "", "family" : "Chen", "given" : "D", "non-dropping-particle" : "", "parse-names" : false, "suffix" : "" }, { "dropping-particle" : "", "family" : "Rossini", "given" : "G", "non-dropping-particle" : "", "parse-names" : false, "suffix" : "" }, { "dropping-particle" : "", "family" : "Boyce", "given" : "B", "non-dropping-particle" : "", "parse-names" : false, "suffix" : "" }, { "dropping-particle" : "", "family" : "Zhao", "given" : "M", "non-dropping-particle" : "", "parse-names" : false, "suffix" : "" }, { "dropping-particle" : "", "family" : "Gutierrez", "given" : "G", "non-dropping-particle" : "", "parse-names" : false, "suffix" : "" } ], "container-title" : "Science (New York, N.Y.)", "id" : "ITEM-1", "issue" : "5446", "issued" : { "date-parts" : [ [ "1999", "12" ] ] }, "note" : "LR: 20131121; JID: 0404511; 0 (BMP2 protein, human); 0 (Bmp2 protein, mouse); 0 (Bmp2 protein, rat); 0 (Bone Morphogenetic Protein 2); 0 (Bone Morphogenetic Proteins); 0 (Hydroxymethylglutaryl-CoA Reductase Inhibitors); 0 (Recombinant Proteins); 0 (Transforming Growth Factor beta); 0 (recombinant human bone morphogenetic protein-2); 103107-01-3 (Fibroblast Growth Factor 2); 104781-85-3 (Fibroblast Growth Factor 1); 9LHU78OQFD (Lovastatin); AGG2FN16EV (Simvastatin); CIN: Science. 1999 Dec 3;286(5446):1825-6. PMID: 10610568; ppublish", "page" : "1946-1949", "title" : "Stimulation of bone formation in vitro and in rodents by statins", "type" : "article-journal", "volume" : "286" }, "uris" : [ "http://www.mendeley.com/documents/?uuid=a3ea7fc0-8226-4b44-9927-5128b6f5f10c" ] } ], "mendeley" : { "formattedCitation" : "&lt;sup&gt;18&lt;/sup&gt;", "plainTextFormattedCitation" : "18", "previouslyFormattedCitation" : "&lt;sup&gt;18&lt;/sup&gt;"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18</w:t>
      </w:r>
      <w:r w:rsidR="00C85AEB" w:rsidRPr="00030AAD">
        <w:rPr>
          <w:rFonts w:ascii="Times New Roman" w:hAnsi="Times New Roman" w:cs="Times New Roman"/>
          <w:spacing w:val="-3"/>
          <w:sz w:val="24"/>
          <w:szCs w:val="24"/>
        </w:rPr>
        <w:fldChar w:fldCharType="end"/>
      </w:r>
      <w:r w:rsidR="00C85AEB" w:rsidRPr="00030AAD">
        <w:rPr>
          <w:rFonts w:ascii="Times New Roman" w:hAnsi="Times New Roman" w:cs="Times New Roman"/>
          <w:spacing w:val="-3"/>
          <w:sz w:val="24"/>
          <w:szCs w:val="24"/>
        </w:rPr>
        <w:t xml:space="preserve"> </w:t>
      </w:r>
      <w:r w:rsidRPr="00030AAD">
        <w:rPr>
          <w:rFonts w:ascii="Times New Roman" w:hAnsi="Times New Roman" w:cs="Times New Roman"/>
          <w:spacing w:val="-3"/>
          <w:sz w:val="24"/>
          <w:szCs w:val="24"/>
        </w:rPr>
        <w:t>In acting through this pathway, statins have been shown to induce osteoblast differentiation. Treatment of cells with BMP-2 antagonists (noggin) significantly reduces the osteogenic effect of lovastatin, for example</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"M606706200 [pii]", "ISBN" : "0021-9258", "PMID" : "17179158", "abstract" : "Lovastatin promotes osteoblast differentiation by increasing bone morphogenetic protein-2 (BMP-2) expression. We demonstrate that lovastatin stimulates tyrosine phosphorylation of the p85 regulatory subunit of phosphatidylinositol 3-kinase (PI3K), leading to an increase in its kinase activity in osteoblast cells. Inhibition of PI3K ameliorated expression of the osteogenic markers alkaline phosphatase, type I collagen, osteopontin, and BMP-2. Expression of dominant-negative PI3K and PTEN, an inhibitor of PI3K signaling, significantly attenuated lovastatin-induced transcription of BMP-2. Akt kinase was also activated in a PI3K-dependent manner. However, our data suggest involvement of an additional signaling pathway. Lovastatin-induced Erk1/2 activity contributed to BMP-2 transcription. Inhibition of PI3K abrogated Erk1/2 activity in response to lovastatin, indicating the presence of a signal relay between them. We provide, as a mechanism of this cross-talk, the first evidence that lovastatin stimulates rapid activation of Ras, which associates with and activates PI3K in the plasma membrane, which in turn regulates Akt and Erk1/2 to induce BMP-2 expression for osteoblast differentiation.", "author" : [ { "dropping-particle" : "", "family" : "Ghosh-Choudhury", "given" : "N", "non-dropping-particle" : "", "parse-names" : false, "suffix" : "" }, { "dropping-particle" : "", "family" : "Mandal", "given" : "C C", "non-dropping-particle" : "", "parse-names" : false, "suffix" : "" }, { "dropping-particle" : "", "family" : "Choudhury", "given" : "G G", "non-dropping-particle" : "", "parse-names" : false, "suffix" : "" } ], "container-title" : "The Journal of biological chemistry", "id" : "ITEM-1", "issue" : "7", "issued" : { "date-parts" : [ [ "2007", "2" ] ] }, "note" : "LR: 20131121; GR: R01 AR52425/AR/NIAMS NIH HHS/United States; JID: 2985121R; 0 (Anticholesteremic Agents); 0 (Antigens, Differentiation); 0 (Bmp2 protein, mouse); 0 (Bone Morphogenetic Protein 2); 0 (Bone Morphogenetic Proteins); 0 (Transforming Growth Factor beta); 9LHU78OQFD (Lovastatin); EC 2.7.1.- (Phosphatidylinositol 3-Kinases); EC 2.7.11.1 (Oncogene Protein v-akt); EC 2.7.11.24 (Mitogen-Activated Protein Kinase 1); EC 2.7.11.24 (Mitogen-Activated Protein Kinase 3); EC 3.1.3.48 (Pten protein, mouse); EC 3.1.3.67 (PTEN Phosphohydrolase); 2006/12/19 [aheadofprint]; ppublish", "page" : "4983-4993", "title" : "Statin-induced Ras activation integrates the phosphatidylinositol 3-kinase signal to Akt and MAPK for bone morphogenetic protein-2 expression in osteoblast differentiation", "type" : "article-journal", "volume" : "282" }, "uris" : [ "http://www.mendeley.com/documents/?uuid=2befeaaf-42f9-4058-91bb-586ae547327f" ] } ], "mendeley" : { "formattedCitation" : "&lt;sup&gt;19&lt;/sup&gt;", "plainTextFormattedCitation" : "19", "previouslyFormattedCitation" : "&lt;sup&gt;19&lt;/sup&gt;"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19</w:t>
      </w:r>
      <w:r w:rsidR="00C85AEB" w:rsidRPr="00030AAD">
        <w:rPr>
          <w:rFonts w:ascii="Times New Roman" w:hAnsi="Times New Roman" w:cs="Times New Roman"/>
          <w:spacing w:val="-3"/>
          <w:sz w:val="24"/>
          <w:szCs w:val="24"/>
        </w:rPr>
        <w:fldChar w:fldCharType="end"/>
      </w:r>
      <w:r w:rsidR="00C85AEB" w:rsidRPr="00030AAD">
        <w:rPr>
          <w:rFonts w:ascii="Times New Roman" w:hAnsi="Times New Roman" w:cs="Times New Roman"/>
          <w:spacing w:val="-3"/>
          <w:sz w:val="24"/>
          <w:szCs w:val="24"/>
        </w:rPr>
        <w:t xml:space="preserve"> </w:t>
      </w:r>
      <w:r w:rsidRPr="00030AAD">
        <w:rPr>
          <w:rFonts w:ascii="Times New Roman" w:hAnsi="Times New Roman" w:cs="Times New Roman"/>
          <w:color w:val="000000"/>
          <w:sz w:val="24"/>
          <w:szCs w:val="24"/>
        </w:rPr>
        <w:t>I</w:t>
      </w:r>
      <w:r w:rsidRPr="00030AAD">
        <w:rPr>
          <w:rFonts w:ascii="Times New Roman" w:hAnsi="Times New Roman" w:cs="Times New Roman"/>
          <w:spacing w:val="-3"/>
          <w:sz w:val="24"/>
          <w:szCs w:val="24"/>
        </w:rPr>
        <w:t xml:space="preserve">n addition to their action through BMP-2, evidence exists to suggest that statins may also prevent osteoblast apoptosis by increasing the level of Smad3 and thereby activating the </w:t>
      </w:r>
      <w:proofErr w:type="spellStart"/>
      <w:r w:rsidRPr="00030AAD">
        <w:rPr>
          <w:rFonts w:ascii="Times New Roman" w:hAnsi="Times New Roman" w:cs="Times New Roman"/>
          <w:spacing w:val="-3"/>
          <w:sz w:val="24"/>
          <w:szCs w:val="24"/>
        </w:rPr>
        <w:t>TGFbeta</w:t>
      </w:r>
      <w:proofErr w:type="spellEnd"/>
      <w:r w:rsidRPr="00030AAD">
        <w:rPr>
          <w:rFonts w:ascii="Times New Roman" w:hAnsi="Times New Roman" w:cs="Times New Roman"/>
          <w:spacing w:val="-3"/>
          <w:sz w:val="24"/>
          <w:szCs w:val="24"/>
        </w:rPr>
        <w:t>/Smad3 pathway</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"10.1055/s-0028-1082051 [doi]", "ISBN" : "0018-5043", "PMID" : "18622892", "abstract" : "Statins possess pleiotropic effects in several tissues. Among them, their bone anabolic actions have been recently noted. We have proposed that Smad3, a TGF-beta-signaling molecule, is a promoter of bone formation. However, whether statins would affect TGF-beta-Smad3 pathway in osteoblasts is still unknown. The present study was performed to examine the effects of statin on Smad3 expression and cell apoptosis by employing mouse osteoblastic MC3T3-E1 and rat osteoblastic UMR-106 cells. Statins (pitavastatin, mevastatin, and simvastatin) as well as alendronate increased the levels of Smad3 in MC3T3-E1 cells. The effects of pitavastatin on Smad3 levels were observed from 3 hours and later. Pitavastatin induced the expression of TGF-beta, and cycloheximide, a protein synthesis inhibitor, antagonized the increased levels of pitavastatin on Smad3. On the other hand, pitavastatin antagonized dexamethasone- or etoposide-induced apoptosis in a dose-dependent manner, and Smad3 inactivation by dominant negative Smad3 or an inhibition of endogenous TGF-beta action by SB431542 antagonized anti-apoptotic effects of pitavastatin, indicating that pitavastatin suppressed osteoblast apoptosis partly through TGF-beta-Smad3 pathway. In conclusion, the present study has demonstrated for the first time that statin suppressed cell apoptosis partly through TGF-beta-Smad3 pathway in osteoblastic cells.", "author" : [ { "dropping-particle" : "", "family" : "Kaji", "given" : "H", "non-dropping-particle" : "", "parse-names" : false, "suffix" : "" }, { "dropping-particle" : "", "family" : "Naito", "given" : "J", "non-dropping-particle" : "", "parse-names" : false, "suffix" : "" }, { "dropping-particle" : "", "family" : "Inoue", "given" : "Y", "non-dropping-particle" : "", "parse-names" : false, "suffix" : "" }, { "dropping-particle" : "", "family" : "Sowa", "given" : "H", "non-dropping-particle" : "", "parse-names" : false, "suffix" : "" }, { "dropping-particle" : "", "family" : "Sugimoto", "given" : "T", "non-dropping-particle" : "", "parse-names" : false, "suffix" : "" }, { "dropping-particle" : "", "family" : "Chihara", "given" : "K", "non-dropping-particle" : "", "parse-names" : false, "suffix" : "" } ], "container-title" : "Hormone and metabolic research = Hormon- und Stoffwechselforschung = Hormones et metabolisme", "id" : "ITEM-1", "issue" : "11", "issued" : { "date-parts" : [ [ "2008", "11" ] ] }, "note" : "LR: 20131121; JID: 0177722; 0 (Hydroxymethylglutaryl-CoA Reductase Inhibitors); 0 (Quinolines); 0 (Smad3 Protein); 0 (Transforming Growth Factor beta); 1UQM1K0W9X (mevastatin); 9LHU78OQFD (Lovastatin); AGG2FN16EV (Simvastatin); M5681Q5F9P (pitavastatin); X1J18R4W8P (Alendronate); 2008/07/11 [epublish]; 2008/07/11 [aheadofprint]; ppublish", "page" : "746-751", "title" : "Statin suppresses apoptosis in osteoblastic cells: role of transforming growth factor-beta-Smad3 pathway", "type" : "article-journal", "volume" : "40" }, "uris" : [ "http://www.mendeley.com/documents/?uuid=941d3c13-acbb-48f4-819b-b417a90488ff" ] } ], "mendeley" : { "formattedCitation" : "&lt;sup&gt;20&lt;/sup&gt;", "plainTextFormattedCitation" : "20", "previouslyFormattedCitation" : "&lt;sup&gt;20&lt;/sup&gt;"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20</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w:t>
      </w:r>
    </w:p>
    <w:p w14:paraId="58E42820" w14:textId="5730C2D4" w:rsidR="00336941" w:rsidRPr="00030AAD" w:rsidRDefault="00336941" w:rsidP="00336941">
      <w:pPr>
        <w:tabs>
          <w:tab w:val="left" w:pos="-720"/>
          <w:tab w:val="left" w:pos="1800"/>
        </w:tabs>
        <w:suppressAutoHyphens/>
        <w:jc w:val="both"/>
        <w:rPr>
          <w:rFonts w:ascii="Times New Roman" w:hAnsi="Times New Roman" w:cs="Times New Roman"/>
          <w:spacing w:val="-3"/>
          <w:sz w:val="24"/>
          <w:szCs w:val="24"/>
        </w:rPr>
      </w:pPr>
      <w:r w:rsidRPr="00030AAD">
        <w:rPr>
          <w:rFonts w:ascii="Times New Roman" w:hAnsi="Times New Roman" w:cs="Times New Roman"/>
          <w:spacing w:val="-3"/>
          <w:sz w:val="24"/>
          <w:szCs w:val="24"/>
        </w:rPr>
        <w:t xml:space="preserve">Statins may also prevent </w:t>
      </w:r>
      <w:proofErr w:type="spellStart"/>
      <w:r w:rsidRPr="00030AAD">
        <w:rPr>
          <w:rFonts w:ascii="Times New Roman" w:hAnsi="Times New Roman" w:cs="Times New Roman"/>
          <w:spacing w:val="-3"/>
          <w:sz w:val="24"/>
          <w:szCs w:val="24"/>
        </w:rPr>
        <w:t>osteoclastogenes</w:t>
      </w:r>
      <w:r w:rsidR="009071BC" w:rsidRPr="00030AAD">
        <w:rPr>
          <w:rFonts w:ascii="Times New Roman" w:hAnsi="Times New Roman" w:cs="Times New Roman"/>
          <w:spacing w:val="-3"/>
          <w:sz w:val="24"/>
          <w:szCs w:val="24"/>
        </w:rPr>
        <w:t>is</w:t>
      </w:r>
      <w:proofErr w:type="spellEnd"/>
      <w:r w:rsidR="009071BC" w:rsidRPr="00030AAD">
        <w:rPr>
          <w:rFonts w:ascii="Times New Roman" w:hAnsi="Times New Roman" w:cs="Times New Roman"/>
          <w:spacing w:val="-3"/>
          <w:sz w:val="24"/>
          <w:szCs w:val="24"/>
        </w:rPr>
        <w:t xml:space="preserve"> by inhibiting the action of </w:t>
      </w:r>
      <w:r w:rsidRPr="00030AAD">
        <w:rPr>
          <w:rFonts w:ascii="Times New Roman" w:hAnsi="Times New Roman" w:cs="Times New Roman"/>
          <w:spacing w:val="-3"/>
          <w:sz w:val="24"/>
          <w:szCs w:val="24"/>
        </w:rPr>
        <w:t>farnesyl diphosphate synthase and thereby preventing prenylation and activation of GTPase</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"10.1042/BSR20110118 [doi]", "ISBN" : "1573-4935", "PMID" : "22799752", "abstract" : "Osteoporosis is a common disease in the elderly population. The progress of this disease results in the reduction of bone mass and can increase the incidence of fractures. Drugs presently used clinically can block the aggravation of this disease. However, these drugs cannot increase the bone mass and may result in certain side effects. Statins, also known as HMG-CoA (3-hydroxy-3-methylglutaryl-CoA) reductase inhibitors, have been widely prescribed for CVD (cardiovascular disease) for decades. Nonetheless, several studies have demonstrated that statins exert bone anabolic effect and may be helpful for the treatment of osteoporosis. Several experiments have analysed the mechanisms of bone anabolism regulated by statins. In the present paper, we review the mechanisms of promoting osteogenesis, suppressing osteoblast apoptosis and inhibiting osteoclastogenesis.", "author" : [ { "dropping-particle" : "", "family" : "Ruan", "given" : "F", "non-dropping-particle" : "", "parse-names" : false, "suffix" : "" }, { "dropping-particle" : "", "family" : "Zheng", "given" : "Q", "non-dropping-particle" : "", "parse-names" : false, "suffix" : "" }, { "dropping-particle" : "", "family" : "Wang", "given" : "J", "non-dropping-particle" : "", "parse-names" : false, "suffix" : "" } ], "container-title" : "Bioscience reports", "id" : "ITEM-1", "issue" : "6", "issued" : { "date-parts" : [ [ "2012", "12" ] ] }, "note" : "LR: 20131115; JID: 8102797; 0 (Hydroxymethylglutaryl-CoA Reductase Inhibitors); OID: NLM: PMC3499024; ppublish", "page" : "511-519", "title" : "Mechanisms of bone anabolism regulated by statins", "type" : "article-journal", "volume" : "32" }, "uris" : [ "http://www.mendeley.com/documents/?uuid=7f9ab121-e217-4f4f-bcc8-75f758903ec4" ] } ], "mendeley" : { "formattedCitation" : "&lt;sup&gt;22&lt;/sup&gt;", "plainTextFormattedCitation" : "22", "previouslyFormattedCitation" : "&lt;sup&gt;22&lt;/sup&gt;"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22</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Second, work in mouse bone cell cultures has found the statins increase OPG mRNA expression and decrease RANKL mRNA expression while increasing estrogen receptor expression, though the mechanisms behind these actions are not clearly understood</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"10.1055/s-2005-870538 [doi]", "ISBN" : "0018-5043", "PMID" : "16278780", "abstract" : "Statins stimulate bone formation partly by inducing osteoblast differentiation, although there is controversy about the effects of statins on bone mineral density and fracture risk. Several studies have revealed that statins suppress bone resorption. However, the mechanism by which statins inhibit bone resorption is still unclear. The present study was performed to clarify the effects of statins on osteoclast formation as well as the levels of osteoprotegerin (OPG) and receptor activator of NFkappaB ligand (RANKL) mRNA in mouse bone-cell cultures by semiquantitative RT-PCR. 10(-8) M 1,25-dihydroxyvitamin D3 [1,25(OH)2D3] significantly stimulated osteoclast formation and 10(-6) M statins (mevastatin and simvastatin) significantly antagonized osteoclast formation stimulated by 1,25(OH)2D3 in mouse bone-cell cultures, including both osteoblasts and osteoclasts. 10(-6) M mevastatin and simvastatin increased the level of OPG mRNA in mouse bone-cell cultures. On the other hand, 10(-6) M mevastatin and simvastatin inhibited the level of RANKL mRNA in these cultures. In conclusion, the present study demonstrates that statins inhibit osteoclast formation in mouse bone-cell cultures. Moreover, statins also increased and decreased the levels of OPG and RANKL mRNA expression in these cultures, respectively. The modulation of OPG/RANKL may be involved in the inhibition of osteoclast formation by statins.", "author" : [ { "dropping-particle" : "", "family" : "Kaji", "given" : "H", "non-dropping-particle" : "", "parse-names" : false, "suffix" : "" }, { "dropping-particle" : "", "family" : "Kanatani", "given" : "M", "non-dropping-particle" : "", "parse-names" : false, "suffix" : "" }, { "dropping-particle" : "", "family" : "Sugimoto", "given" : "T", "non-dropping-particle" : "", "parse-names" : false, "suffix" : "" }, { "dropping-particle" : "", "family" : "Chihara", "given" : "K", "non-dropping-particle" : "", "parse-names" : false, "suffix" : "" } ], "container-title" : "Hormone and metabolic research = Hormon- und Stoffwechselforschung = Hormones et metabolisme", "id" : "ITEM-1", "issue" : "10", "issued" : { "date-parts" : [ [ "2005", "10" ] ] }, "note" : "LR: 20131121; JID: 0177722; 0 (Carrier Proteins); 0 (Glycoproteins); 0 (Membrane Glycoproteins); 0 (Osteoprotegerin); 0 (RANK Ligand); 0 (RNA, Messenger); 0 (Receptor Activator of Nuclear Factor-kappa B); 0 (Receptors, Cytoplasmic and Nuclear); 0 (Receptors, Tumor Necrosis Factor); 0 (Tnfrsf11a protein, mouse); 0 (Tnfrsf11b protein, mouse); 0 (Tnfsf11 protein, mouse); 1UQM1K0W9X (mevastatin); 9LHU78OQFD (Lovastatin); AGG2FN16EV (Simvastatin); FXC9231JVH (Calcitriol); ppublish", "page" : "589-592", "title" : "Statins modulate the levels of osteoprotegerin/receptor activator of NFkappaB ligand mRNA in mouse bone-cell cultures", "type" : "article-journal", "volume" : "37" }, "uris" : [ "http://www.mendeley.com/documents/?uuid=9478f649-f675-4d0e-8f0a-bd6433c4dd92" ] } ], "mendeley" : { "formattedCitation" : "&lt;sup&gt;36&lt;/sup&gt;", "plainTextFormattedCitation" : "36", "previouslyFormattedCitation" : "&lt;sup&gt;36&lt;/sup&gt;"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36</w:t>
      </w:r>
      <w:r w:rsidR="00C85AEB" w:rsidRPr="00030AAD">
        <w:rPr>
          <w:rFonts w:ascii="Times New Roman" w:hAnsi="Times New Roman" w:cs="Times New Roman"/>
          <w:spacing w:val="-3"/>
          <w:sz w:val="24"/>
          <w:szCs w:val="24"/>
        </w:rPr>
        <w:fldChar w:fldCharType="end"/>
      </w:r>
    </w:p>
    <w:p w14:paraId="43E44B49" w14:textId="7FE0A4FC" w:rsidR="00336941" w:rsidRPr="00030AAD" w:rsidRDefault="00336941" w:rsidP="00336941">
      <w:pPr>
        <w:tabs>
          <w:tab w:val="left" w:pos="-720"/>
          <w:tab w:val="left" w:pos="1800"/>
        </w:tabs>
        <w:suppressAutoHyphens/>
        <w:jc w:val="both"/>
        <w:rPr>
          <w:rFonts w:ascii="Times New Roman" w:hAnsi="Times New Roman" w:cs="Times New Roman"/>
          <w:spacing w:val="-3"/>
          <w:sz w:val="24"/>
          <w:szCs w:val="24"/>
        </w:rPr>
      </w:pPr>
      <w:r w:rsidRPr="00030AAD">
        <w:rPr>
          <w:rFonts w:ascii="Times New Roman" w:hAnsi="Times New Roman" w:cs="Times New Roman"/>
          <w:spacing w:val="-3"/>
          <w:sz w:val="24"/>
          <w:szCs w:val="24"/>
        </w:rPr>
        <w:t>These characteristics have been shown to increase bone healing in animal models or fracture healing.</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"10.1007/s00198-007-0412-2 [doi]", "ISBN" : "0937-941X", "PMID" : "17622479", "abstract" : "Simvastatin solution was injected subcutaneously to the site of fractured tibiae of ovariectomized rats. Afterwards healing quality was evaluated by morphologic, radiographic, biomechanical, histological and histomorphometric methods at 1, 2 and 4 weeks after fracture. Results showed that locally applied simvastatin improved fracture healing. INTRODUCTION: Many studies have documented an anabolic effect of hydroxymethylglutaryl coenzyme A (HMG-CoA) reductase inhibitors, statins, on undisturbed bone. Reports of their effects, however, on fractured skeletal systems have been limited. A study was, therefore, conducted to check the effects of statins on fracture healing. METHODS: Simvastatin (10 mg/kg/day) was injected subcutaneously to tissue overlying the site of fractured tibiae of ovariectomized rats for a treatment period of 5 days. Vehicle reagent was used as a control. Healing quality was evaluated at 1, 2 and 4 weeks after fracture. RESULTS: Compared with that in the vehicle group, the callus cross-section area in simvastatin-treated rats was significantly enlarged by 21.3% (p &lt; 0.05) at 1 week and by 21.5% (p &lt; 0.05) at 2 weeks; new woven bone was relatively substantive and arranged more tightly and regularly at 2 and 4 weeks; and maximal load was increased by 57.5% (p &lt; 0.05) at 2 weeks and by 31.4% (p &lt; 0.05) at 4 weeks. Histomorphometrically, simvastatin was associated with a significant (p &lt; 0.05) increase of mineralization width (MLW), mineralization volume (MLV) and mineral apposition rate (MAR). CONCLUSION: The current study suggests that local application of simvastatin could promote fracture healing in ovariectomized rats.", "author" : [ { "dropping-particle" : "", "family" : "Wang", "given" : "J W", "non-dropping-particle" : "", "parse-names" : false, "suffix" : "" }, { "dropping-particle" : "", "family" : "Xu", "given" : "S W", "non-dropping-particle" : "", "parse-names" : false, "suffix" : "" }, { "dropping-particle" : "", "family" : "Yang", "given" : "D S", "non-dropping-particle" : "", "parse-names" : false, "suffix" : "" }, { "dropping-particle" : "", "family" : "Lv", "given" : "R K", "non-dropping-particle" : "", "parse-names" : false, "suffix" : "" } ], "container-title" : "Osteoporosis international : a journal established as result of cooperation between the European Foundation for Osteoporosis and the National Osteoporosis Foundation of the USA", "id" : "ITEM-1", "issue" : "12", "issued" : { "date-parts" : [ [ "2007", "12" ] ] }, "note" : "LR: 20131121; JID: 9100105; 0 (Hydroxymethylglutaryl-CoA Reductase Inhibitors); 97C5T2UQ7J (Cholesterol); AGG2FN16EV (Simvastatin); EC 3.1.3.1 (Alkaline Phosphatase); CIN: Osteoporos Int. 2008 Nov;19(11):1643; author reply 1645. PMID: 18421543; 2007/01/20 [received]; 2007/05/31 [accepted]; 2007/07/11 [aheadofprint]; ppublish", "page" : "1641-1650", "title" : "Locally applied simvastatin promotes fracture healing in ovariectomized rat", "type" : "article-journal", "volume" : "18" }, "uris" : [ "http://www.mendeley.com/documents/?uuid=4640e21c-36a9-44e4-8d10-b2a65dd069f5" ] }, { "id" : "ITEM-2", "itemData" : { "DOI" : "1471-2474-8-98 [pii]", "ISBN" : "1471-2474", "PMID" : "17897477", "abstract" : "BACKGROUND: HMG-CoA reductase inhibitors, statins, are widely prescribed to lower cholesterol. High doses of orally administered simvastatin has previously been shown to improve fracture healing in a mouse femur fracture model. In this study, simvastatin was administered either subcutaneously or directly to the fracture area, with the goal of stimulating fracture repair at acceptable doses. METHODS: Femur fractures were produced in 70 mature male Balb-C mice and stabilized with marrow-nailing. Three experiments were performed. Firstly, 20 mice received subcutaneous injections of either simvastatin (20 mg) or vehicle. Secondly, 30 mice were divided into three groups of 10 mice receiving continuous subcutaneous delivery of the vehicle substance, the vehicle with 5 mg or with 10 mg of simvastatin per kg bodyweight per day. Finally, in 20 mice, a silicone tube was led from an osmotic mini-pump to the fracture area. In this way, 10 mice received an approximate local dose of simvastatin of 0.1 mg per kg per day for the duration of the experiment and 10 mice received the vehicle compound. All treatments lasted until the end of the experiment. Bilateral femurs were harvested 14 days post-operative. Biomechanical tests were performed by way of three-point bending. Data was analysed with ANOVA, Scheffe's post-hoc test and Student's unpaired t-test. RESULTS: With daily simvastatin injections, no effects could be demonstrated for any of the parameters examined. Continuous systemic delivery resulted in a 160% larger force at failure. Continuous local delivery of simvastatin resulted in a 170% larger force at failure as well as a twofold larger energy uptake. CONCLUSION: This study found a dramatic positive effect on biomechanical parameters of fracture healing by simvastatin treatment directly applied to the fracture area.", "author" : [ { "dropping-particle" : "", "family" : "Skoglund", "given" : "B", "non-dropping-particle" : "", "parse-names" : false, "suffix" : "" }, { "dropping-particle" : "", "family" : "Aspenberg", "given" : "P", "non-dropping-particle" : "", "parse-names" : false, "suffix" : "" } ], "container-title" : "BMC musculoskeletal disorders", "id" : "ITEM-2", "issued" : { "date-parts" : [ [ "2007", "9" ] ] }, "note" : "LR: 20131121; JID: 100968565; 0 (Hydroxymethylglutaryl-CoA Reductase Inhibitors); AGG2FN16EV (Simvastatin); OID: NLM: PMC2200653; 2007/01/17 [received]; 2007/09/27 [accepted]; 2007/09/27 [aheadofprint]; epublish", "page" : "98", "title" : "Locally applied Simvastatin improves fracture healing in mice", "type" : "article-journal", "volume" : "8" }, "uris" : [ "http://www.mendeley.com/documents/?uuid=ccce4f65-9e01-47a9-a483-ed3955c4e12a" ] }, { "id" : "ITEM-3", "itemData" : { "DOI" : "10.1359/jbmr.2002.17.11.2004 [doi]", "ISBN" : "0884-0431", "PMID" : "12412808", "abstract" : "Recently, several articles have been published dealing with the anabolic effects on bone by statins. Mundy and associates discovered that several statins were able to activate the promotor of bone morphogenetic protein (BMP) 2. Additionally, oral simvastatin and lovastatin increased the cancellous bone volume in rats, presumably an effect of the increase of BMP-2. Other studies have followed, with conflicting results; some have found a positive bone metabolic effect of statins and others have not. Studies published so far have focused on osteoporosis. In this study, femur fractures were produced in 81 mature male BALB/c mice and stabilized with marrow-nailing. Forty-one mice were given a diet prepared with simvastatin, so that each mouse received an approximate dose of 120 mg/kg of body weight per day. The remaining mice received the same diet with the exception of the simvastatin. Bilateral femurs were harvested at 8, 14, and 21 days postoperatively (po), the marrow-nail was extracted, and diameters were measured. Biomechanical tests were performed on 42 mice, by way of three-point bending. Histological specimens were prepared using standard techniques. For statistical analysis, ANOVA with Scheffes post hoc test was used. At 8 days, the fracture callus was too soft for meaningful biomechanical testing. At 14 days, the callus of the simvastatin-treated mice had a 53% larger transverse area than controls (p = 0.001), the force required to break the bone was 63% greater (p = 0.001), and the energy uptake was increased by 150% (p = 0.0008). Stiffness and modulus of elasticity were not significantly affected. At 21 days, the fractures were histologically healed and the mechanical differences had disappeared. The contralateral unbroken bone showed a slight increase in transverse area because of the simvastatin treatment, but there was no significant effect on the force required to break the bone or on energy uptake. These results point to a new possibility in the treatment of fractures.", "author" : [ { "dropping-particle" : "", "family" : "Skoglund", "given" : "B", "non-dropping-particle" : "", "parse-names" : false, "suffix" : "" }, { "dropping-particle" : "", "family" : "Forslund", "given" : "C", "non-dropping-particle" : "", "parse-names" : false, "suffix" : "" }, { "dropping-particle" : "", "family" : "Aspenberg", "given" : "P", "non-dropping-particle" : "", "parse-names" : false, "suffix" : "" } ], "container-title" : "Journal of bone and mineral research : the official journal of the American Society for Bone and Mineral Research", "id" : "ITEM-3", "issue" : "11", "issued" : { "date-parts" : [ [ "2002", "11" ] ] }, "note" : "LR: 20131121; JID: 8610640; AGG2FN16EV (Simvastatin); ppublish", "page" : "2004-2008", "title" : "Simvastatin improves fracture healing in mice", "type" : "article-journal", "volume" : "17" }, "uris" : [ "http://www.mendeley.com/documents/?uuid=c4540c55-7f93-43a6-a04a-a17b79e3ef9f" ] } ], "mendeley" : { "formattedCitation" : "&lt;sup&gt;30,37,38&lt;/sup&gt;", "plainTextFormattedCitation" : "30,37,38", "previouslyFormattedCitation" : "&lt;sup&gt;30,37,38&lt;/sup&gt;"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30,37,38</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A fracture model study in </w:t>
      </w:r>
      <w:r w:rsidR="00C85AEB" w:rsidRPr="00030AAD">
        <w:rPr>
          <w:rFonts w:ascii="Times New Roman" w:hAnsi="Times New Roman" w:cs="Times New Roman"/>
          <w:spacing w:val="-3"/>
          <w:sz w:val="24"/>
          <w:szCs w:val="24"/>
        </w:rPr>
        <w:t>ovariectomized</w:t>
      </w:r>
      <w:r w:rsidRPr="00030AAD">
        <w:rPr>
          <w:rFonts w:ascii="Times New Roman" w:hAnsi="Times New Roman" w:cs="Times New Roman"/>
          <w:spacing w:val="-3"/>
          <w:sz w:val="24"/>
          <w:szCs w:val="24"/>
        </w:rPr>
        <w:t xml:space="preserve"> rats showed the benefits of local administration of simvastatin in fracture healing</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"10.1007/s00198-007-0412-2 [doi]", "ISBN" : "0937-941X", "PMID" : "17622479", "abstract" : "Simvastatin solution was injected subcutaneously to the site of fractured tibiae of ovariectomized rats. Afterwards healing quality was evaluated by morphologic, radiographic, biomechanical, histological and histomorphometric methods at 1, 2 and 4 weeks after fracture. Results showed that locally applied simvastatin improved fracture healing. INTRODUCTION: Many studies have documented an anabolic effect of hydroxymethylglutaryl coenzyme A (HMG-CoA) reductase inhibitors, statins, on undisturbed bone. Reports of their effects, however, on fractured skeletal systems have been limited. A study was, therefore, conducted to check the effects of statins on fracture healing. METHODS: Simvastatin (10 mg/kg/day) was injected subcutaneously to tissue overlying the site of fractured tibiae of ovariectomized rats for a treatment period of 5 days. Vehicle reagent was used as a control. Healing quality was evaluated at 1, 2 and 4 weeks after fracture. RESULTS: Compared with that in the vehicle group, the callus cross-section area in simvastatin-treated rats was significantly enlarged by 21.3% (p &lt; 0.05) at 1 week and by 21.5% (p &lt; 0.05) at 2 weeks; new woven bone was relatively substantive and arranged more tightly and regularly at 2 and 4 weeks; and maximal load was increased by 57.5% (p &lt; 0.05) at 2 weeks and by 31.4% (p &lt; 0.05) at 4 weeks. Histomorphometrically, simvastatin was associated with a significant (p &lt; 0.05) increase of mineralization width (MLW), mineralization volume (MLV) and mineral apposition rate (MAR). CONCLUSION: The current study suggests that local application of simvastatin could promote fracture healing in ovariectomized rats.", "author" : [ { "dropping-particle" : "", "family" : "Wang", "given" : "J W", "non-dropping-particle" : "", "parse-names" : false, "suffix" : "" }, { "dropping-particle" : "", "family" : "Xu", "given" : "S W", "non-dropping-particle" : "", "parse-names" : false, "suffix" : "" }, { "dropping-particle" : "", "family" : "Yang", "given" : "D S", "non-dropping-particle" : "", "parse-names" : false, "suffix" : "" }, { "dropping-particle" : "", "family" : "Lv", "given" : "R K", "non-dropping-particle" : "", "parse-names" : false, "suffix" : "" } ], "container-title" : "Osteoporosis international : a journal established as result of cooperation between the European Foundation for Osteoporosis and the National Osteoporosis Foundation of the USA", "id" : "ITEM-1", "issue" : "12", "issued" : { "date-parts" : [ [ "2007", "12" ] ] }, "note" : "LR: 20131121; JID: 9100105; 0 (Hydroxymethylglutaryl-CoA Reductase Inhibitors); 97C5T2UQ7J (Cholesterol); AGG2FN16EV (Simvastatin); EC 3.1.3.1 (Alkaline Phosphatase); CIN: Osteoporos Int. 2008 Nov;19(11):1643; author reply 1645. PMID: 18421543; 2007/01/20 [received]; 2007/05/31 [accepted]; 2007/07/11 [aheadofprint]; ppublish", "page" : "1641-1650", "title" : "Locally applied simvastatin promotes fracture healing in ovariectomized rat", "type" : "article-journal", "volume" : "18" }, "uris" : [ "http://www.mendeley.com/documents/?uuid=4640e21c-36a9-44e4-8d10-b2a65dd069f5" ] } ], "mendeley" : { "formattedCitation" : "&lt;sup&gt;30&lt;/sup&gt;", "plainTextFormattedCitation" : "30", "previouslyFormattedCitation" : "&lt;sup&gt;30&lt;/sup&gt;"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30</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In this study, investigators injected 5 mg/kg of simvastatin subcutaneously at the fracture site (proximal tibia) a total of three times; once on the day of the fracture and twice in the 5 days thereafter. In a comparison to sham injections, the injection of simvastatin resulted in increased volume of callus and increased mineralization on </w:t>
      </w:r>
      <w:proofErr w:type="spellStart"/>
      <w:r w:rsidRPr="00030AAD">
        <w:rPr>
          <w:rFonts w:ascii="Times New Roman" w:hAnsi="Times New Roman" w:cs="Times New Roman"/>
          <w:spacing w:val="-3"/>
          <w:sz w:val="24"/>
          <w:szCs w:val="24"/>
        </w:rPr>
        <w:t>histomorphometric</w:t>
      </w:r>
      <w:proofErr w:type="spellEnd"/>
      <w:r w:rsidRPr="00030AAD">
        <w:rPr>
          <w:rFonts w:ascii="Times New Roman" w:hAnsi="Times New Roman" w:cs="Times New Roman"/>
          <w:spacing w:val="-3"/>
          <w:sz w:val="24"/>
          <w:szCs w:val="24"/>
        </w:rPr>
        <w:t xml:space="preserve"> analysis</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"10.1007/s00198-007-0412-2 [doi]", "ISBN" : "0937-941X", "PMID" : "17622479", "abstract" : "Simvastatin solution was injected subcutaneously to the site of fractured tibiae of ovariectomized rats. Afterwards healing quality was evaluated by morphologic, radiographic, biomechanical, histological and histomorphometric methods at 1, 2 and 4 weeks after fracture. Results showed that locally applied simvastatin improved fracture healing. INTRODUCTION: Many studies have documented an anabolic effect of hydroxymethylglutaryl coenzyme A (HMG-CoA) reductase inhibitors, statins, on undisturbed bone. Reports of their effects, however, on fractured skeletal systems have been limited. A study was, therefore, conducted to check the effects of statins on fracture healing. METHODS: Simvastatin (10 mg/kg/day) was injected subcutaneously to tissue overlying the site of fractured tibiae of ovariectomized rats for a treatment period of 5 days. Vehicle reagent was used as a control. Healing quality was evaluated at 1, 2 and 4 weeks after fracture. RESULTS: Compared with that in the vehicle group, the callus cross-section area in simvastatin-treated rats was significantly enlarged by 21.3% (p &lt; 0.05) at 1 week and by 21.5% (p &lt; 0.05) at 2 weeks; new woven bone was relatively substantive and arranged more tightly and regularly at 2 and 4 weeks; and maximal load was increased by 57.5% (p &lt; 0.05) at 2 weeks and by 31.4% (p &lt; 0.05) at 4 weeks. Histomorphometrically, simvastatin was associated with a significant (p &lt; 0.05) increase of mineralization width (MLW), mineralization volume (MLV) and mineral apposition rate (MAR). CONCLUSION: The current study suggests that local application of simvastatin could promote fracture healing in ovariectomized rats.", "author" : [ { "dropping-particle" : "", "family" : "Wang", "given" : "J W", "non-dropping-particle" : "", "parse-names" : false, "suffix" : "" }, { "dropping-particle" : "", "family" : "Xu", "given" : "S W", "non-dropping-particle" : "", "parse-names" : false, "suffix" : "" }, { "dropping-particle" : "", "family" : "Yang", "given" : "D S", "non-dropping-particle" : "", "parse-names" : false, "suffix" : "" }, { "dropping-particle" : "", "family" : "Lv", "given" : "R K", "non-dropping-particle" : "", "parse-names" : false, "suffix" : "" } ], "container-title" : "Osteoporosis international : a journal established as result of cooperation between the European Foundation for Osteoporosis and the National Osteoporosis Foundation of the USA", "id" : "ITEM-1", "issue" : "12", "issued" : { "date-parts" : [ [ "2007", "12" ] ] }, "note" : "LR: 20131121; JID: 9100105; 0 (Hydroxymethylglutaryl-CoA Reductase Inhibitors); 97C5T2UQ7J (Cholesterol); AGG2FN16EV (Simvastatin); EC 3.1.3.1 (Alkaline Phosphatase); CIN: Osteoporos Int. 2008 Nov;19(11):1643; author reply 1645. PMID: 18421543; 2007/01/20 [received]; 2007/05/31 [accepted]; 2007/07/11 [aheadofprint]; ppublish", "page" : "1641-1650", "title" : "Locally applied simvastatin promotes fracture healing in ovariectomized rat", "type" : "article-journal", "volume" : "18" }, "uris" : [ "http://www.mendeley.com/documents/?uuid=4640e21c-36a9-44e4-8d10-b2a65dd069f5" ] } ], "mendeley" : { "formattedCitation" : "&lt;sup&gt;30&lt;/sup&gt;", "plainTextFormattedCitation" : "30", "previouslyFormattedCitation" : "&lt;sup&gt;30&lt;/sup&gt;"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30</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Similarly, a rat femur fracture model showed an increase in mechanical strength after local </w:t>
      </w:r>
      <w:r w:rsidRPr="00030AAD">
        <w:rPr>
          <w:rFonts w:ascii="Times New Roman" w:hAnsi="Times New Roman" w:cs="Times New Roman"/>
          <w:spacing w:val="-3"/>
          <w:sz w:val="24"/>
          <w:szCs w:val="24"/>
        </w:rPr>
        <w:lastRenderedPageBreak/>
        <w:t>administration of simvastatin to the fracture site</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"1471-2474-8-98 [pii]", "ISBN" : "1471-2474", "PMID" : "17897477", "abstract" : "BACKGROUND: HMG-CoA reductase inhibitors, statins, are widely prescribed to lower cholesterol. High doses of orally administered simvastatin has previously been shown to improve fracture healing in a mouse femur fracture model. In this study, simvastatin was administered either subcutaneously or directly to the fracture area, with the goal of stimulating fracture repair at acceptable doses. METHODS: Femur fractures were produced in 70 mature male Balb-C mice and stabilized with marrow-nailing. Three experiments were performed. Firstly, 20 mice received subcutaneous injections of either simvastatin (20 mg) or vehicle. Secondly, 30 mice were divided into three groups of 10 mice receiving continuous subcutaneous delivery of the vehicle substance, the vehicle with 5 mg or with 10 mg of simvastatin per kg bodyweight per day. Finally, in 20 mice, a silicone tube was led from an osmotic mini-pump to the fracture area. In this way, 10 mice received an approximate local dose of simvastatin of 0.1 mg per kg per day for the duration of the experiment and 10 mice received the vehicle compound. All treatments lasted until the end of the experiment. Bilateral femurs were harvested 14 days post-operative. Biomechanical tests were performed by way of three-point bending. Data was analysed with ANOVA, Scheffe's post-hoc test and Student's unpaired t-test. RESULTS: With daily simvastatin injections, no effects could be demonstrated for any of the parameters examined. Continuous systemic delivery resulted in a 160% larger force at failure. Continuous local delivery of simvastatin resulted in a 170% larger force at failure as well as a twofold larger energy uptake. CONCLUSION: This study found a dramatic positive effect on biomechanical parameters of fracture healing by simvastatin treatment directly applied to the fracture area.", "author" : [ { "dropping-particle" : "", "family" : "Skoglund", "given" : "B", "non-dropping-particle" : "", "parse-names" : false, "suffix" : "" }, { "dropping-particle" : "", "family" : "Aspenberg", "given" : "P", "non-dropping-particle" : "", "parse-names" : false, "suffix" : "" } ], "container-title" : "BMC musculoskeletal disorders", "id" : "ITEM-1", "issued" : { "date-parts" : [ [ "2007", "9" ] ] }, "note" : "LR: 20131121; JID: 100968565; 0 (Hydroxymethylglutaryl-CoA Reductase Inhibitors); AGG2FN16EV (Simvastatin); OID: NLM: PMC2200653; 2007/01/17 [received]; 2007/09/27 [accepted]; 2007/09/27 [aheadofprint]; epublish", "page" : "98", "title" : "Locally applied Simvastatin improves fracture healing in mice", "type" : "article-journal", "volume" : "8" }, "uris" : [ "http://www.mendeley.com/documents/?uuid=ccce4f65-9e01-47a9-a483-ed3955c4e12a" ] } ], "mendeley" : { "formattedCitation" : "&lt;sup&gt;37&lt;/sup&gt;", "plainTextFormattedCitation" : "37", "previouslyFormattedCitation" : "&lt;sup&gt;37&lt;/sup&gt;"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37</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These results have been replicated in a number of different animal studies</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"10.1002/jbmr.1558 [doi]", "ISBN" : "1523-4681", "PMID" : "22275312", "abstract" : "Several reports have shown the therapeutic effect of statins on bone formation and neovascularization. However, the effect of the systemic administration of statins is limited due to its metabolism in the liver and clearance in the digestive system. In addition, high-dose administration may cause adverse side effects. To avoid low-efficacy/frequent side effects of high-dose statin treatment, we utilized biodegradable gelatin hydrogel as a drug delivery system of statin for fracture healing. A femoral fracture was created in rats with periosteum cauterization leading to nonunion at 8 weeks postfracture. Rats received local administration of either simvastatin-conjugated gelatin hydrogel (ST-Gel group) or gelatin hydrogel alone (Gel group). Approximately 70% of animals in the ST-Gel group achieved fracture union radiographically and histologically, while only 7% of animals achieved fracture healing in the Gel group. Functional bone healing was also significantly greater with increased angiogenesis- and osteogenesis-related growth factor expressions in periosteal granulation tissue in the ST-Gel group than in the Gel group. Simvastatin locally applied with gelatin hydrogel to fracture sites at a dose similar to that used in clinical settings successfully induced fracture union in a rat unhealing bone fracture model via its effect on both angiogenesis and osteogenesis.", "author" : [ { "dropping-particle" : "", "family" : "Fukui", "given" : "T", "non-dropping-particle" : "", "parse-names" : false, "suffix" : "" }, { "dropping-particle" : "", "family" : "Ii", "given" : "M", "non-dropping-particle" : "", "parse-names" : false, "suffix" : "" }, { "dropping-particle" : "", "family" : "Shoji", "given" : "T", "non-dropping-particle" : "", "parse-names" : false, "suffix" : "" }, { "dropping-particle" : "", "family" : "Matsumoto", "given" : "T", "non-dropping-particle" : "", "parse-names" : false, "suffix" : "" }, { "dropping-particle" : "", "family" : "Mifune", "given" : "Y", "non-dropping-particle" : "", "parse-names" : false, "suffix" : "" }, { "dropping-particle" : "", "family" : "Kawakami", "given" : "Y", "non-dropping-particle" : "", "parse-names" : false, "suffix" : "" }, { "dropping-particle" : "", "family" : "Akimaru", "given" : "H", "non-dropping-particle" : "", "parse-names" : false, "suffix" : "" }, { "dropping-particle" : "", "family" : "Kawamoto", "given" : "A", "non-dropping-particle" : "", "parse-names" : false, "suffix" : "" }, { "dropping-particle" : "", "family" : "Kuroda", "given" : "T", "non-dropping-particle" : "", "parse-names" : false, "suffix" : "" }, { "dropping-particle" : "", "family" : "Saito", "given" : "T", "non-dropping-particle" : "", "parse-names" : false, "suffix" : "" }, { "dropping-particle" : "", "family" : "Tabata", "given" : "Y", "non-dropping-particle" : "", "parse-names" : false, "suffix" : "" }, { "dropping-particle" : "", "family" : "Kuroda", "given" : "R", "non-dropping-particle" : "", "parse-names" : false, "suffix" : "" }, { "dropping-particle" : "", "family" : "Kurosaka", "given" : "M", "non-dropping-particle" : "", "parse-names" : false, "suffix" : "" }, { "dropping-particle" : "", "family" : "Asahara", "given" : "T", "non-dropping-particle" : "", "parse-names" : false, "suffix" : "" } ], "container-title" : "Journal of bone and mineral research : the official journal of the American Society for Bone and Mineral Research", "id" : "ITEM-1", "issue" : "5", "issued" : { "date-parts" : [ [ "2012", "5" ] ] }, "note" : "LR: 20131121; CI: Copyright (c) 2012; JID: 8610640; 0 (Adjuvants, Pharmaceutic); 0 (Hydroxymethylglutaryl-CoA Reductase Inhibitors); 25852-47-5 (Hydrogel); 9000-70-8 (Gelatin); AGG2FN16EV (Simvastatin); ppublish", "page" : "1118-1131", "title" : "Therapeutic effect of local administration of low-dose simvastatin-conjugated gelatin hydrogel for fracture healing", "type" : "article-journal", "volume" : "27" }, "uris" : [ "http://www.mendeley.com/documents/?uuid=ec174e98-2c7e-46c4-ae0b-ad1599e0b63f" ] }, { "id" : "ITEM-2", "itemData" : { "DOI" : "10.1002/jor.21421 [doi]", "ISBN" : "1554-527X", "PMID" : "21462251", "abstract" : "Lovastatin exhibits higher thermal stability and lower degradation rate than simvastatin. However, the amount of research studying a lovastatin delivery device has been far less than similar research on simvastatin. As a consequence, a high lovastatin release rate system has not been developed. We hypothesized that highly efficient release of lovastatin from poly(lactic-co-glycolic acid) (PLGA) nanoparticles in a short-term release (7 days) could provide an effective delivery system for bone repair. This study optimized the emulsion (o/w) technique in the fabrication process for PLGA nanoparticles, thereby producing the first recorded case of a high release rate (97%) of lovastatin. We also calculated the calibration curve of lovastatin using a UV spectrometer. The results demonstrated that the ALPase activity in human osteoblasts could be significantly stimulated by lovastatin carried in PLGA nanoparticles, but was prominently decreased by free lovastatin with the concentration higher than 4 microg/ml. Animal studies showed that the amount of lovastatin contained in 1 mg PLGA was the optimum dosage. These results suggest the new lovastatin-releasing PLGA delivery device exhibits potential for clinical treatment of bony defects.", "author" : [ { "dropping-particle" : "", "family" : "Ho", "given" : "M H", "non-dropping-particle" : "", "parse-names" : false, "suffix" : "" }, { "dropping-particle" : "", "family" : "Chiang", "given" : "C P", "non-dropping-particle" : "", "parse-names" : false, "suffix" : "" }, { "dropping-particle" : "", "family" : "Liu", "given" : "Y F", "non-dropping-particle" : "", "parse-names" : false, "suffix" : "" }, { "dropping-particle" : "", "family" : "Kuo", "given" : "M Y", "non-dropping-particle" : "", "parse-names" : false, "suffix" : "" }, { "dropping-particle" : "", "family" : "Lin", "given" : "S K", "non-dropping-particle" : "", "parse-names" : false, "suffix" : "" }, { "dropping-particle" : "", "family" : "Lai", "given" : "J Y", "non-dropping-particle" : "", "parse-names" : false, "suffix" : "" }, { "dropping-particle" : "", "family" : "Lee", "given" : "B S", "non-dropping-particle" : "", "parse-names" : false, "suffix" : "" } ], "container-title" : "Journal of orthopaedic research : official publication of the Orthopaedic Research Society", "id" : "ITEM-2", "issue" : "10", "issued" : { "date-parts" : [ [ "2011", "10" ] ] }, "note" : "LR: 20131121; CI: Copyright (c) 2011; JID: 8404726; 0 (Delayed-Action Preparations); 0 (Drug Carriers); 0 (Hydroxymethylglutaryl-CoA Reductase Inhibitors); 0 (polylactic acid-polyglycolic acid copolymer); 26009-03-0 (Polyglycolic Acid); 33X04XA5AT (Lactic Acid); 9LHU78OQFD (Lovastatin); EC 3.1.3.1 (Alkaline Phosphatase); 2010/11/14 [received]; 2011/03/03 [accepted]; 2011/04/01 [aheadofprint]; ppublish", "page" : "1504-1510", "title" : "Highly efficient release of lovastatin from poly(lactic-co-glycolic acid) nanoparticles enhances bone repair in rats", "type" : "article-journal", "volume" : "29" }, "uris" : [ "http://www.mendeley.com/documents/?uuid=864b85be-cb81-49a0-af4a-32f74259f66c" ] }, { "id" : "ITEM-3", "itemData" : { "DOI" : "10.1089/ten.TEA.2012.0325 [doi]", "ISBN" : "1937-335X", "PMID" : "23198912", "abstract" : "Anterior cruciate ligament (ACL) reconstruction with the hamstring tendon graft takes a long time, as the tendon graft needs to heal at the site of the bone-tendon integration in the created bone tunnels. Several reports have shown the therapeutic effects of simvastatin on bone formation with neovascularization. The aim of this study was to test the hypothesis that enhanced angiogenesis and osteogenesis by locally applied simvastatin promotes tendon-bone healing after ACL reconstruction. Rabbits received ACL reconstruction with hamstring tendon graft and were implanted with either simvastatin-conjugated gelatin hydrogel or gelatin hydrogel alone in their bone tunnels, and then bone regeneration and neovascularization at tendon-bone interface and biomechanical properties were assessed. Histological analysis at week 2 demonstrated that tendon-bone healing was significantly greater with angiogenesis and osteogenesis in the simvastatin-treated group than in the control group. Computed tomography at weeks 2 and 4 showed a significantly smaller tibial bone tunnel in the simvastatin-treated group. Biomechanical testing at week 2 demonstrated a significant increase in ultimate failure load in the simvastatin-treated group. This study suggested that local administration of low-dose simvastatin-conjugated gelatin hydrogel promotes the tendon-bone healing via its effect on both angiogenesis and osteogenesis at an early phase in a rabbit model, but does not affect biomechanical property in long-term after ACL reconstruction.", "author" : [ { "dropping-particle" : "", "family" : "Oka", "given" : "S", "non-dropping-particle" : "", "parse-names" : false, "suffix" : "" }, { "dropping-particle" : "", "family" : "Matsumoto", "given" : "T", "non-dropping-particle" : "", "parse-names" : false, "suffix" : "" }, { "dropping-particle" : "", "family" : "Kubo", "given" : "S", "non-dropping-particle" : "", "parse-names" : false, "suffix" : "" }, { "dropping-particle" : "", "family" : "Matsushita", "given" : "T", "non-dropping-particle" : "", "parse-names" : false, "suffix" : "" }, { "dropping-particle" : "", "family" : "Sasaki", "given" : "H", "non-dropping-particle" : "", "parse-names" : false, "suffix" : "" }, { "dropping-particle" : "", "family" : "Nishizawa", "given" : "Y", "non-dropping-particle" : "", "parse-names" : false, "suffix" : "" }, { "dropping-particle" : "", "family" : "Matsuzaki", "given" : "T", "non-dropping-particle" : "", "parse-names" : false, "suffix" : "" }, { "dropping-particle" : "", "family" : "Saito", "given" : "T", "non-dropping-particle" : "", "parse-names" : false, "suffix" : "" }, { "dropping-particle" : "", "family" : "Nishida", "given" : "K", "non-dropping-particle" : "", "parse-names" : false, "suffix" : "" }, { "dropping-particle" : "", "family" : "Tabata", "given" : "Y", "non-dropping-particle" : "", "parse-names" : false, "suffix" : "" }, { "dropping-particle" : "", "family" : "Kurosaka", "given" : "M", "non-dropping-particle" : "", "parse-names" : false, "suffix" : "" }, { "dropping-particle" : "", "family" : "Kuroda", "given" : "R", "non-dropping-particle" : "", "parse-names" : false, "suffix" : "" } ], "container-title" : "Tissue engineering.Part A", "id" : "ITEM-3", "issue" : "9-10", "issued" : { "date-parts" : [ [ "2013", "5" ] ] }, "note" : "LR: 20131121; JID: 101466659; 25852-47-5 (Hydrogel); 9000-70-8 (Gelatin); AGG2FN16EV (Simvastatin); 2013/01/14 [aheadofprint]; ppublish", "page" : "1233-1243", "title" : "Local administration of low-dose simvastatin-conjugated gelatin hydrogel for tendon-bone healing in anterior cruciate ligament reconstruction", "type" : "article-journal", "volume" : "19" }, "uris" : [ "http://www.mendeley.com/documents/?uuid=7680e673-1180-45bf-8cbc-ced6d1a7426c" ] }, { "id" : "ITEM-4", "itemData" : { "DOI" : "10.1016/j.bone.2009.05.010 [doi]", "ISBN" : "1873-2763", "PMID" : "19464400", "abstract" : "Many clinical and experimental investigations address the influence of statins on bone formation and fracture healing. Simvastatin was shown to increase the expression of Bone morphogenetic protein (BMP-2), which is one of the most potent growth factors targeting bone formation. In this study, the effect of simvastatin locally applied from a bioactive polymer coating of implants on fracture healing was investigated. A closed fracture of the right tibia of 5-month-old Sprague-Dawley rats was performed. Intramedullary stabilization was achieved with uncoated vs. polymer-only coated vs. polymer plus drug coated titanium Kirschner wires. Test substances (either simvastatin low- or high dosed or BMP-2) were incorporated into a biodegradable layer of poly(d,l-lactide). Tibiae were harvested after 28 or 42 days, respectively and underwent biomechanical testing (torsional stiffness and maximum load) and histomorphometric analysis. Radiographic results demonstrated progressed callus consolidation in the BMP-2- and simvastatin-treated groups compared to the uncoated group at both timepoints. The simvastatin-high-dosed group revealed an increased torsional stiffness and significantly elevated maximum load (d 28) compared to control group as well as a significant increase in both parameters at d 42. BMP-2-treated animals showed significantly elevated maximum load and stiffness at the early timepoint and elevated torsional stiffness after d 42. The histomorphometric analysis revealed a significantly decreased cartilage area for BMP-2 treated animals at d 28. Even though an increase of mineralized areas among periosteal callus was found at d 42 for simvastatin-high as well as BMP-2 treated animals, no significant difference could be detected at both timepoints compared to the uncoated group. However, simvastatin-high treated animals revealed significantly reduced cartilage areas within the periosteal callus at d 42. The present study revealed a dose-dependent effect and improved fracture healing under local application of simvastatin. Biomechanical, radiographic and histomorphometric properties showed comparable results to BMP-2- treated animals in this study.", "author" : [ { "dropping-particle" : "", "family" : "Pauly", "given" : "S", "non-dropping-particle" : "", "parse-names" : false, "suffix" : "" }, { "dropping-particle" : "", "family" : "Luttosch", "given" : "F", "non-dropping-particle" : "", "parse-names" : false, "suffix" : "" }, { "dropping-particle" : "", "family" : "Morawski", "given" : "M", "non-dropping-particle" : "", "parse-names" : false, "suffix" : "" }, { "dropping-particle" : "", "family" : "Haas", "given" : "N P", "non-dropping-particle" : "", "parse-names" : false, "suffix" : "" }, { "dropping-particle" : "", "family" : "Schmidmaier", "given" : "G", "non-dropping-particle" : "", "parse-names" : false, "suffix" : "" }, { "dropping-particle" : "", "family" : "Wildemann", "given" : "B", "non-dropping-particle" : "", "parse-names" : false, "suffix" : "" } ], "container-title" : "Bone", "id" : "ITEM-4", "issue" : "3", "issued" : { "date-parts" : [ [ "2009", "9" ] ] }, "note" : "LR: 20131121; JID: 8504048; 0 (Bone Morphogenetic Protein 2); 0 (Coated Materials, Biocompatible); 0 (Hydroxymethylglutaryl-CoA Reductase Inhibitors); 0 (Polyesters); 26969-66-4 (poly(lactide)); AGG2FN16EV (Simvastatin); 2009/03/27 [received]; 2009/05/14 [revised]; 2009/05/15 [accepted]; 2009/05/21 [aheadofprint]; ppublish", "page" : "505-511", "title" : "Simvastatin locally applied from a biodegradable coating of osteosynthetic implants improves fracture healing comparable to BMP-2 application", "type" : "article-journal", "volume" : "45" }, "uris" : [ "http://www.mendeley.com/documents/?uuid=5eee0a20-fe11-443b-a7fa-0bc10996b06d" ] }, { "id" : "ITEM-5", "itemData" : { "DOI" : "10.2147/IJN.S48694 [doi]", "ISBN" : "1178-2013", "PMID" : "24143094", "abstract" : "Statins are used clinically for reduction of cholesterol synthesis to prevent cardiovascular disease. Previous in vitro and in vivo studies have shown that statins stimulate bone formation. However, orally administered statins may be degraded during first-pass metabolism in the liver. This study aimed to prevent this degradation by developing a locally administered formulation of simvastatin that is encapsulated in poly(lactic-co-glycolic acid)/hydroxyapatite (SIM/PLGA/HAp) microspheres with controlled-release properties. The effect of this formulation of simvastatin on bone repair was tested using a mouse model of gap fracture bridging with a graft of necrotic bone. The simvastatin released over 12 days from 3 mg and 5 mg of SIM/PLGA/HAp was 0.03-1.6 mug/day and 0.05-2.6 mug/day, respectively. SIM/PLGA/HAp significantly stimulated callus formation around the repaired area and increased neovascularization and cell ingrowth in the grafted necrotic bone at week 2 after surgery. At week 4, both 3 mg and 5 mg of SIM/PLGA/HAp increased neovascularization, but only 5 mg SIM/PLGA/HAp enhanced cell ingrowth into the necrotic bone. The low dose of simvastatin released from SIM/PLGA/HAp enhanced initial callus formation, neovascularization, and cell ingrowth in the grafted bone, indicating that SIM/PLGA/HAp facilitates bone regeneration. We suggest that SIM/PLGA/HAp should be developed as an osteoinductive agent to treat osteonecrosis or in combination with an osteoconductive scaffold to treat severe bone defects.", "author" : [ { "dropping-particle" : "", "family" : "Tai", "given" : "I C", "non-dropping-particle" : "", "parse-names" : false, "suffix" : "" }, { "dropping-particle" : "", "family" : "Fu", "given" : "Y C", "non-dropping-particle" : "", "parse-names" : false, "suffix" : "" }, { "dropping-particle" : "", "family" : "Wang", "given" : "C K", "non-dropping-particle" : "", "parse-names" : false, "suffix" : "" }, { "dropping-particle" : "", "family" : "Chang", "given" : "J K", "non-dropping-particle" : "", "parse-names" : false, "suffix" : "" }, { "dropping-particle" : "", "family" : "Ho", "given" : "M L", "non-dropping-particle" : "", "parse-names" : false, "suffix" : "" } ], "container-title" : "International journal of nanomedicine", "id" : "ITEM-5", "issued" : { "date-parts" : [ [ "2013" ] ] }, "note" : "JID: 101263847; 0 (Capsules); 0 (Delayed-Action Preparations); 0 (polylactic acid-polyglycolic acid copolymer); 26009-03-0 (Polyglycolic Acid); 33X04XA5AT (Lactic Acid); 91D9GV0Z28 (Durapatite); AGG2FN16EV (Simvastatin); OID: NLM: PMC3798145; OTO: NOTNLM; 2013 [ecollection]; 2013/10/11 [epublish]; ppublish", "page" : "3895-3904", "title" : "Local delivery of controlled-release simvastatin/PLGA/HAp microspheres enhances bone repair", "type" : "article-journal", "volume" : "8" }, "uris" : [ "http://www.mendeley.com/documents/?uuid=08a4a3a1-48ce-4f25-bdfe-9dbe85b3e782" ] } ], "mendeley" : { "formattedCitation" : "&lt;sup&gt;23\u201325,28,39&lt;/sup&gt;", "plainTextFormattedCitation" : "23\u201325,28,39", "previouslyFormattedCitation" : "&lt;sup&gt;23\u201325,28,39&lt;/sup&gt;"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23–25,28,39</w:t>
      </w:r>
      <w:r w:rsidR="00C85AEB" w:rsidRPr="00030AAD">
        <w:rPr>
          <w:rFonts w:ascii="Times New Roman" w:hAnsi="Times New Roman" w:cs="Times New Roman"/>
          <w:spacing w:val="-3"/>
          <w:sz w:val="24"/>
          <w:szCs w:val="24"/>
        </w:rPr>
        <w:fldChar w:fldCharType="end"/>
      </w:r>
    </w:p>
    <w:p w14:paraId="28290C6F" w14:textId="0C4E252D" w:rsidR="00336941" w:rsidRPr="00030AAD" w:rsidRDefault="00336941" w:rsidP="00336941">
      <w:pPr>
        <w:tabs>
          <w:tab w:val="left" w:pos="-720"/>
          <w:tab w:val="left" w:pos="1800"/>
        </w:tabs>
        <w:suppressAutoHyphens/>
        <w:jc w:val="both"/>
        <w:rPr>
          <w:rFonts w:ascii="Times New Roman" w:hAnsi="Times New Roman" w:cs="Times New Roman"/>
          <w:spacing w:val="-3"/>
          <w:sz w:val="24"/>
          <w:szCs w:val="24"/>
        </w:rPr>
      </w:pPr>
      <w:r w:rsidRPr="00030AAD">
        <w:rPr>
          <w:rFonts w:ascii="Times New Roman" w:hAnsi="Times New Roman" w:cs="Times New Roman"/>
          <w:spacing w:val="-3"/>
          <w:sz w:val="24"/>
          <w:szCs w:val="24"/>
        </w:rPr>
        <w:t>Despite good success with fracture healing, data in the spine is limited. The only two studies that have investigated the use of statins in the spine have been limited to oral administration of statins</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"10.3944/AOTT.2011.2526 [doi]", "ISBN" : "1017-995X", "PMID" : "21908968", "abstract" : "OBJECTIVE: Statins stimulate bone formation by inducing the expression of bone morphogenetic proteins (BMP-2). The aim of our study was to investigate the effects of orally administered simvastatin on spinal fusion in rats. METHODS: Twenty rats were randomized into a spinal fusion group (SF) (n=10) or a spinal fusion and oral simvastatin administered group (SFS) (n=10). A spinal fusion was performed between L4-L6 representing two levels. Simvastatin (120 mg/kg/day) was administered orally in the SFS group. The rats were killed at the end of the 12 week study period. RESULTS: Manual palpation revealed two moderate fusions in the SF group. The SFS group did not reveal any signs of pseudoarthrosis. An average three-point bending force causing failure of fusion revealed results of 148.80+/-39.403 Newtons and 123.80+/-28.479 Newtons in SFS and SF groups, respectively (p&gt;0.05). Histological examination revealed better fusion grades in the SFS group (mean: 9.30+/-0.949) than in the SF group (mean: 6.80+/-2.044) (p=0.003). Radiographic examination revealed Grade C fusion in two levels and Grade A fusion in 18 levels in the SF group. In the SFS group, Grade C fusion was detected in one level and Grade A fusions in 19. CONCLUSION: Our results suggest that simvastatin can promote spinal fusion and can be used as an adjunct to spinal fusion procedures in an elderly population with high cholesterol levels.", "author" : [ { "dropping-particle" : "", "family" : "Bostan", "given" : "B", "non-dropping-particle" : "", "parse-names" : false, "suffix" : "" }, { "dropping-particle" : "", "family" : "Gunes", "given" : "T", "non-dropping-particle" : "", "parse-names" : false, "suffix" : "" }, { "dropping-particle" : "", "family" : "Asci", "given" : "M", "non-dropping-particle" : "", "parse-names" : false, "suffix" : "" }, { "dropping-particle" : "", "family" : "Sen", "given" : "C", "non-dropping-particle" : "", "parse-names" : false, "suffix" : "" }, { "dropping-particle" : "", "family" : "Kelestemur", "given" : "M H", "non-dropping-particle" : "", "parse-names" : false, "suffix" : "" }, { "dropping-particle" : "", "family" : "Erdem", "given" : "M", "non-dropping-particle" : "", "parse-names" : false, "suffix" : "" }, { "dropping-particle" : "", "family" : "Koseoglu", "given" : "R D", "non-dropping-particle" : "", "parse-names" : false, "suffix" : "" }, { "dropping-particle" : "", "family" : "Erkorkmaz", "given" : "U", "non-dropping-particle" : "", "parse-names" : false, "suffix" : "" } ], "container-title" : "Acta orthopaedica et traumatologica turcica", "id" : "ITEM-1", "issue" : "4", "issued" : { "date-parts" : [ [ "2011" ] ] }, "note" : "LR: 20131121; JID: 9424806; 0 (BMP2 protein, human); 0 (Bone Morphogenetic Protein 2); 0 (Hydroxymethylglutaryl-CoA Reductase Inhibitors); AGG2FN16EV (Simvastatin); ppublish", "page" : "270-275", "title" : "Simvastatin improves spinal fusion in rats", "type" : "article-journal", "volume" : "45" }, "uris" : [ "http://www.mendeley.com/documents/?uuid=835540ab-492f-42d1-9e73-c9b28ed9e91e" ] }, { "id" : "ITEM-2", "itemData" : { "DOI" : "S1529-9430(05)01026-0 [pii]", "ISBN" : "1529-9430", "PMID" : "16825044", "abstract" : "BACKGROUND CONTEXT: There has been recent enthusiasm regarding the potential positive effects of statins on bone. Statins vary in their ability to influence bone activity. Simvastatin has been shown in experimental models to stimulate bone acting growth factors and enhance bone formation. PURPOSE: The potential efficacy of Simvastatin in enhancing spinal fusion was evaluated in a rabbit posterolateral intertransverse process fusion model. STUDY DESIGN/SETTING: Posterior lumbar intertransverse process spinal fusion performed on New Zealand White rabbits. PATIENT/STUDY SAMPLE: 44 New Zealand White rabbits. OUTCOME MEASURES: Spinal fusion as determined by manual palpation testing and fine detail radiography. Bone fusion mass volume and density as determined by CT scan imaging. METHODS: Forty-four New Zealand White rabbits underwent posterolateral intertransverse process spine fusion using autogenous iliac crest bone graft. Simvastatin was administered orally in 20 animals and the serum lipid profile quantified in test and control animals. The animals were euthanized 9 weeks following index surgery and the lumbar spine was harvested. Spinal fusion was determined by manual palpation testing and fine detail radiography. The volume and density of the bone fusion mass was quantified by computed tomography. RESULTS: Drug treatment for 9 weeks caused a reduction in serum lipid biochemical markers when compared with controls. The spinal fusion rate, as judged by manual palpation testing (13.0% control group, 16.6% Simvastatin group) and fine detail radiography, was not significantly different comparing treatment with control animals. Accordant with the assessment of spinal fusion, there was no statistically significant effect on the volume of the fusion mass (1,224.7+/-98.7 mm(3) in the control group and 1,075.9+/-66.3 mm(3) in the Simvastatin group), the density of bone in the lumbar spine or that in the formed fusion mass. CONCLUSIONS: Systemic use of Simvastatin caused a reduction in lipid biochemical parameters in treated animals. Successful spinal fusion as judged by manual palpation testing and fine detail radiography was not significantly different in treated versus untreated animals. The bone volume density of the formed fusion mass was not significantly different in treated versus untreated animals. There did not appear to be a significant advantage or disadvantage to the use of Simvastatin rabbit posterolateral spinal fusion. The potential positive effec\u2026", "author" : [ { "dropping-particle" : "", "family" : "Yee", "given" : "A J", "non-dropping-particle" : "", "parse-names" : false, "suffix" : "" }, { "dropping-particle" : "", "family" : "Bae", "given" : "H W", "non-dropping-particle" : "", "parse-names" : false, "suffix" : "" }, { "dropping-particle" : "", "family" : "Friess", "given" : "D", "non-dropping-particle" : "", "parse-names" : false, "suffix" : "" }, { "dropping-particle" : "", "family" : "Roth", "given" : "S M", "non-dropping-particle" : "", "parse-names" : false, "suffix" : "" }, { "dropping-particle" : "", "family" : "Whyne", "given" : "C", "non-dropping-particle" : "", "parse-names" : false, "suffix" : "" }, { "dropping-particle" : "", "family" : "Robbin", "given" : "M", "non-dropping-particle" : "", "parse-names" : false, "suffix" : "" }, { "dropping-particle" : "", "family" : "Johnstone", "given" : "B", "non-dropping-particle" : "", "parse-names" : false, "suffix" : "" }, { "dropping-particle" : "", "family" : "Yoo", "given" : "J U", "non-dropping-particle" : "", "parse-names" : false, "suffix" : "" } ], "container-title" : "The spine journal : official journal of the North American Spine Society", "id" : "ITEM-2", "issue" : "4", "issued" : { "date-parts" : [ [ "2006" ] ] }, "note" : "LR: 20131121; JID: 101130732; 0 (Hydroxymethylglutaryl-CoA Reductase Inhibitors); 0 (Triglycerides); 97C5T2UQ7J (Cholesterol); AGG2FN16EV (Simvastatin); 2005/08/10 [received]; 2005/10/05 [accepted]; ppublish", "page" : "391-396", "title" : "The use of simvastatin in rabbit posterolateral lumbar intertransverse process spine fusion", "type" : "article-journal", "volume" : "6" }, "uris" : [ "http://www.mendeley.com/documents/?uuid=4c54be63-8511-4afb-a069-2b6518272651" ] } ], "mendeley" : { "formattedCitation" : "&lt;sup&gt;26,27&lt;/sup&gt;", "plainTextFormattedCitation" : "26,27", "previouslyFormattedCitation" : "&lt;sup&gt;26,27&lt;/sup&gt;"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26,27</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The earlier of these two studies, which administered a lower dose of simvastatin (6. 5mg/kg) orally, found no difference in the quantity or quality of the fusion mass after administration of the drug</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"S1529-9430(05)01026-0 [pii]", "ISBN" : "1529-9430", "PMID" : "16825044", "abstract" : "BACKGROUND CONTEXT: There has been recent enthusiasm regarding the potential positive effects of statins on bone. Statins vary in their ability to influence bone activity. Simvastatin has been shown in experimental models to stimulate bone acting growth factors and enhance bone formation. PURPOSE: The potential efficacy of Simvastatin in enhancing spinal fusion was evaluated in a rabbit posterolateral intertransverse process fusion model. STUDY DESIGN/SETTING: Posterior lumbar intertransverse process spinal fusion performed on New Zealand White rabbits. PATIENT/STUDY SAMPLE: 44 New Zealand White rabbits. OUTCOME MEASURES: Spinal fusion as determined by manual palpation testing and fine detail radiography. Bone fusion mass volume and density as determined by CT scan imaging. METHODS: Forty-four New Zealand White rabbits underwent posterolateral intertransverse process spine fusion using autogenous iliac crest bone graft. Simvastatin was administered orally in 20 animals and the serum lipid profile quantified in test and control animals. The animals were euthanized 9 weeks following index surgery and the lumbar spine was harvested. Spinal fusion was determined by manual palpation testing and fine detail radiography. The volume and density of the bone fusion mass was quantified by computed tomography. RESULTS: Drug treatment for 9 weeks caused a reduction in serum lipid biochemical markers when compared with controls. The spinal fusion rate, as judged by manual palpation testing (13.0% control group, 16.6% Simvastatin group) and fine detail radiography, was not significantly different comparing treatment with control animals. Accordant with the assessment of spinal fusion, there was no statistically significant effect on the volume of the fusion mass (1,224.7+/-98.7 mm(3) in the control group and 1,075.9+/-66.3 mm(3) in the Simvastatin group), the density of bone in the lumbar spine or that in the formed fusion mass. CONCLUSIONS: Systemic use of Simvastatin caused a reduction in lipid biochemical parameters in treated animals. Successful spinal fusion as judged by manual palpation testing and fine detail radiography was not significantly different in treated versus untreated animals. The bone volume density of the formed fusion mass was not significantly different in treated versus untreated animals. There did not appear to be a significant advantage or disadvantage to the use of Simvastatin rabbit posterolateral spinal fusion. The potential positive effec\u2026", "author" : [ { "dropping-particle" : "", "family" : "Yee", "given" : "A J", "non-dropping-particle" : "", "parse-names" : false, "suffix" : "" }, { "dropping-particle" : "", "family" : "Bae", "given" : "H W", "non-dropping-particle" : "", "parse-names" : false, "suffix" : "" }, { "dropping-particle" : "", "family" : "Friess", "given" : "D", "non-dropping-particle" : "", "parse-names" : false, "suffix" : "" }, { "dropping-particle" : "", "family" : "Roth", "given" : "S M", "non-dropping-particle" : "", "parse-names" : false, "suffix" : "" }, { "dropping-particle" : "", "family" : "Whyne", "given" : "C", "non-dropping-particle" : "", "parse-names" : false, "suffix" : "" }, { "dropping-particle" : "", "family" : "Robbin", "given" : "M", "non-dropping-particle" : "", "parse-names" : false, "suffix" : "" }, { "dropping-particle" : "", "family" : "Johnstone", "given" : "B", "non-dropping-particle" : "", "parse-names" : false, "suffix" : "" }, { "dropping-particle" : "", "family" : "Yoo", "given" : "J U", "non-dropping-particle" : "", "parse-names" : false, "suffix" : "" } ], "container-title" : "The spine journal : official journal of the North American Spine Society", "id" : "ITEM-1", "issue" : "4", "issued" : { "date-parts" : [ [ "2006" ] ] }, "note" : "LR: 20131121; JID: 101130732; 0 (Hydroxymethylglutaryl-CoA Reductase Inhibitors); 0 (Triglycerides); 97C5T2UQ7J (Cholesterol); AGG2FN16EV (Simvastatin); 2005/08/10 [received]; 2005/10/05 [accepted]; ppublish", "page" : "391-396", "title" : "The use of simvastatin in rabbit posterolateral lumbar intertransverse process spine fusion", "type" : "article-journal", "volume" : "6" }, "uris" : [ "http://www.mendeley.com/documents/?uuid=4c54be63-8511-4afb-a069-2b6518272651" ] } ], "mendeley" : { "formattedCitation" : "&lt;sup&gt;27&lt;/sup&gt;", "plainTextFormattedCitation" : "27", "previouslyFormattedCitation" : "&lt;sup&gt;27&lt;/sup&gt;"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27</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The results of </w:t>
      </w:r>
      <w:proofErr w:type="spellStart"/>
      <w:r w:rsidRPr="00030AAD">
        <w:rPr>
          <w:rFonts w:ascii="Times New Roman" w:hAnsi="Times New Roman" w:cs="Times New Roman"/>
          <w:spacing w:val="-3"/>
          <w:sz w:val="24"/>
          <w:szCs w:val="24"/>
        </w:rPr>
        <w:t>supratherapeutic</w:t>
      </w:r>
      <w:proofErr w:type="spellEnd"/>
      <w:r w:rsidRPr="00030AAD">
        <w:rPr>
          <w:rFonts w:ascii="Times New Roman" w:hAnsi="Times New Roman" w:cs="Times New Roman"/>
          <w:spacing w:val="-3"/>
          <w:sz w:val="24"/>
          <w:szCs w:val="24"/>
        </w:rPr>
        <w:t xml:space="preserve"> simvastatin dosing (120 mg/kg) was more encouraging, however, showing an increase in fusion rate and grade as well as increased mechanical strength of the fused levels in the treatment group</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"10.3944/AOTT.2011.2526 [doi]", "ISBN" : "1017-995X", "PMID" : "21908968", "abstract" : "OBJECTIVE: Statins stimulate bone formation by inducing the expression of bone morphogenetic proteins (BMP-2). The aim of our study was to investigate the effects of orally administered simvastatin on spinal fusion in rats. METHODS: Twenty rats were randomized into a spinal fusion group (SF) (n=10) or a spinal fusion and oral simvastatin administered group (SFS) (n=10). A spinal fusion was performed between L4-L6 representing two levels. Simvastatin (120 mg/kg/day) was administered orally in the SFS group. The rats were killed at the end of the 12 week study period. RESULTS: Manual palpation revealed two moderate fusions in the SF group. The SFS group did not reveal any signs of pseudoarthrosis. An average three-point bending force causing failure of fusion revealed results of 148.80+/-39.403 Newtons and 123.80+/-28.479 Newtons in SFS and SF groups, respectively (p&gt;0.05). Histological examination revealed better fusion grades in the SFS group (mean: 9.30+/-0.949) than in the SF group (mean: 6.80+/-2.044) (p=0.003). Radiographic examination revealed Grade C fusion in two levels and Grade A fusion in 18 levels in the SF group. In the SFS group, Grade C fusion was detected in one level and Grade A fusions in 19. CONCLUSION: Our results suggest that simvastatin can promote spinal fusion and can be used as an adjunct to spinal fusion procedures in an elderly population with high cholesterol levels.", "author" : [ { "dropping-particle" : "", "family" : "Bostan", "given" : "B", "non-dropping-particle" : "", "parse-names" : false, "suffix" : "" }, { "dropping-particle" : "", "family" : "Gunes", "given" : "T", "non-dropping-particle" : "", "parse-names" : false, "suffix" : "" }, { "dropping-particle" : "", "family" : "Asci", "given" : "M", "non-dropping-particle" : "", "parse-names" : false, "suffix" : "" }, { "dropping-particle" : "", "family" : "Sen", "given" : "C", "non-dropping-particle" : "", "parse-names" : false, "suffix" : "" }, { "dropping-particle" : "", "family" : "Kelestemur", "given" : "M H", "non-dropping-particle" : "", "parse-names" : false, "suffix" : "" }, { "dropping-particle" : "", "family" : "Erdem", "given" : "M", "non-dropping-particle" : "", "parse-names" : false, "suffix" : "" }, { "dropping-particle" : "", "family" : "Koseoglu", "given" : "R D", "non-dropping-particle" : "", "parse-names" : false, "suffix" : "" }, { "dropping-particle" : "", "family" : "Erkorkmaz", "given" : "U", "non-dropping-particle" : "", "parse-names" : false, "suffix" : "" } ], "container-title" : "Acta orthopaedica et traumatologica turcica", "id" : "ITEM-1", "issue" : "4", "issued" : { "date-parts" : [ [ "2011" ] ] }, "note" : "LR: 20131121; JID: 9424806; 0 (BMP2 protein, human); 0 (Bone Morphogenetic Protein 2); 0 (Hydroxymethylglutaryl-CoA Reductase Inhibitors); AGG2FN16EV (Simvastatin); ppublish", "page" : "270-275", "title" : "Simvastatin improves spinal fusion in rats", "type" : "article-journal", "volume" : "45" }, "uris" : [ "http://www.mendeley.com/documents/?uuid=835540ab-492f-42d1-9e73-c9b28ed9e91e" ] } ], "mendeley" : { "formattedCitation" : "&lt;sup&gt;26&lt;/sup&gt;", "plainTextFormattedCitation" : "26", "previouslyFormattedCitation" : "&lt;sup&gt;26&lt;/sup&gt;"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26</w:t>
      </w:r>
      <w:r w:rsidR="00C85AEB" w:rsidRPr="00030AAD">
        <w:rPr>
          <w:rFonts w:ascii="Times New Roman" w:hAnsi="Times New Roman" w:cs="Times New Roman"/>
          <w:spacing w:val="-3"/>
          <w:sz w:val="24"/>
          <w:szCs w:val="24"/>
        </w:rPr>
        <w:fldChar w:fldCharType="end"/>
      </w:r>
      <w:r w:rsidRPr="00030AAD">
        <w:rPr>
          <w:rFonts w:ascii="Times New Roman" w:hAnsi="Times New Roman" w:cs="Times New Roman"/>
          <w:spacing w:val="-3"/>
          <w:sz w:val="24"/>
          <w:szCs w:val="24"/>
        </w:rPr>
        <w:t xml:space="preserve"> Such high doses of simvastatin are necessary because orally administered statins have low bioavailability and have extremely high affinity for liver cells</w:t>
      </w:r>
      <w:r w:rsidR="00C85AEB" w:rsidRPr="00030AAD">
        <w:rPr>
          <w:rFonts w:ascii="Times New Roman" w:hAnsi="Times New Roman" w:cs="Times New Roman"/>
          <w:spacing w:val="-3"/>
          <w:sz w:val="24"/>
          <w:szCs w:val="24"/>
        </w:rPr>
        <w:t>.</w:t>
      </w:r>
      <w:r w:rsidR="00C85AEB" w:rsidRPr="00030AAD">
        <w:rPr>
          <w:rFonts w:ascii="Times New Roman" w:hAnsi="Times New Roman" w:cs="Times New Roman"/>
          <w:spacing w:val="-3"/>
          <w:sz w:val="24"/>
          <w:szCs w:val="24"/>
        </w:rPr>
        <w:fldChar w:fldCharType="begin" w:fldLock="1"/>
      </w:r>
      <w:r w:rsidR="00302F26">
        <w:rPr>
          <w:rFonts w:ascii="Times New Roman" w:hAnsi="Times New Roman" w:cs="Times New Roman"/>
          <w:spacing w:val="-3"/>
          <w:sz w:val="24"/>
          <w:szCs w:val="24"/>
        </w:rPr>
        <w:instrText>ADDIN CSL_CITATION { "citationItems" : [ { "id" : "ITEM-1", "itemData" : { "DOI" : "S1043-6618(14)00025-5 [pii]", "ISBN" : "1096-1186", "PMID" : "24657242", "abstract" : "Statins, inhibitors of the hydroxymethylglutaryl-CoA (HMG-CoA) reductase enzyme, are molecules of fungal origin. By inhibiting a key step in the sterol biosynthetic pathway statins are powerful cholesterol lowering medications and have provided outstanding contributions to the prevention of cardiovascular disease. Their detection in mycetes traces back to close to 40 years ago: there were, originally, widely opposing views on their therapeutic potential. From then on, intensive pharmaceutical development has led to the final availability in the clinic of seven statin molecules, characterized by differences in bioavailability, lipo/hydrophilicity, cytochrome P-450 mediated metabolism and cellular transport mechanisms. These differences are reflected in their relative power (mg LDL-cholesterol reduction per mg dose) and possibly in parenchymal or muscular toxicities. The impact of the antagonism of statins on a crucial step of intermediary metabolism leads, in fact, both to a reduction of cholesterol biosynthesis as well as to additional pharmacodynamic (so called \"pleiotropic\") effects. In the face of an extraordinary clinical success, the emergence of some side effects, e.g. raised incidence of diabetes and cataracts as well as frequent muscular side effects, have led to increasing concern by physicians. However, also in view of the present relatively low cost of these drugs, their impact on daily therapy of vascular patients is unlikely to change.", "author" : [ { "dropping-particle" : "", "family" : "Sirtori", "given" : "C R", "non-dropping-particle" : "", "parse-names" : false, "suffix" : "" } ], "container-title" : "Pharmacological research : the official journal of the Italian Pharmacological Society", "id" : "ITEM-1", "issued" : { "date-parts" : [ [ "2014", "3" ] ] }, "note" : "CI: Copyright (c) 2014; JID: 8907422; OTO: NOTNLM; 2013/12/10 [received]; 2014/03/03 [revised]; 2014/03/04 [accepted]; aheadofprint", "title" : "The pharmacology of statins", "type" : "article-journal" }, "uris" : [ "http://www.mendeley.com/documents/?uuid=f8962bf6-6944-4bef-b701-17d18e1d562d" ] } ], "mendeley" : { "formattedCitation" : "&lt;sup&gt;35&lt;/sup&gt;", "plainTextFormattedCitation" : "35", "previouslyFormattedCitation" : "&lt;sup&gt;35&lt;/sup&gt;" }, "properties" : { "noteIndex" : 0 }, "schema" : "https://github.com/citation-style-language/schema/raw/master/csl-citation.json" }</w:instrText>
      </w:r>
      <w:r w:rsidR="00C85AEB" w:rsidRPr="00030AAD">
        <w:rPr>
          <w:rFonts w:ascii="Times New Roman" w:hAnsi="Times New Roman" w:cs="Times New Roman"/>
          <w:spacing w:val="-3"/>
          <w:sz w:val="24"/>
          <w:szCs w:val="24"/>
        </w:rPr>
        <w:fldChar w:fldCharType="separate"/>
      </w:r>
      <w:r w:rsidR="00030AAD" w:rsidRPr="00030AAD">
        <w:rPr>
          <w:rFonts w:ascii="Times New Roman" w:hAnsi="Times New Roman" w:cs="Times New Roman"/>
          <w:noProof/>
          <w:spacing w:val="-3"/>
          <w:sz w:val="24"/>
          <w:szCs w:val="24"/>
          <w:vertAlign w:val="superscript"/>
        </w:rPr>
        <w:t>35</w:t>
      </w:r>
      <w:r w:rsidR="00C85AEB" w:rsidRPr="00030AAD">
        <w:rPr>
          <w:rFonts w:ascii="Times New Roman" w:hAnsi="Times New Roman" w:cs="Times New Roman"/>
          <w:spacing w:val="-3"/>
          <w:sz w:val="24"/>
          <w:szCs w:val="24"/>
        </w:rPr>
        <w:fldChar w:fldCharType="end"/>
      </w:r>
    </w:p>
    <w:p w14:paraId="49CEBACB" w14:textId="5C4EF537" w:rsidR="00336941" w:rsidRPr="00030AAD" w:rsidRDefault="00336941" w:rsidP="00336941">
      <w:pPr>
        <w:rPr>
          <w:rFonts w:ascii="Times New Roman" w:hAnsi="Times New Roman" w:cs="Times New Roman"/>
          <w:bCs/>
          <w:sz w:val="24"/>
          <w:szCs w:val="24"/>
        </w:rPr>
      </w:pPr>
      <w:r w:rsidRPr="00030AAD">
        <w:rPr>
          <w:rFonts w:ascii="Times New Roman" w:hAnsi="Times New Roman" w:cs="Times New Roman"/>
          <w:spacing w:val="-3"/>
          <w:sz w:val="24"/>
          <w:szCs w:val="24"/>
        </w:rPr>
        <w:t xml:space="preserve">The promising results of </w:t>
      </w:r>
      <w:proofErr w:type="spellStart"/>
      <w:r w:rsidRPr="00030AAD">
        <w:rPr>
          <w:rFonts w:ascii="Times New Roman" w:hAnsi="Times New Roman" w:cs="Times New Roman"/>
          <w:spacing w:val="-3"/>
          <w:sz w:val="24"/>
          <w:szCs w:val="24"/>
        </w:rPr>
        <w:t>supratherapeutic</w:t>
      </w:r>
      <w:proofErr w:type="spellEnd"/>
      <w:r w:rsidRPr="00030AAD">
        <w:rPr>
          <w:rFonts w:ascii="Times New Roman" w:hAnsi="Times New Roman" w:cs="Times New Roman"/>
          <w:spacing w:val="-3"/>
          <w:sz w:val="24"/>
          <w:szCs w:val="24"/>
        </w:rPr>
        <w:t xml:space="preserve"> simvastatin dosing led us to investigate the impact of locally delivered simvastatin in a spinal fusion mode. </w:t>
      </w:r>
      <w:r w:rsidRPr="00030AAD">
        <w:rPr>
          <w:rFonts w:ascii="Times New Roman" w:hAnsi="Times New Roman" w:cs="Times New Roman"/>
          <w:bCs/>
          <w:sz w:val="24"/>
          <w:szCs w:val="24"/>
        </w:rPr>
        <w:t>We successfully validate</w:t>
      </w:r>
      <w:r w:rsidR="009071BC" w:rsidRPr="00030AAD">
        <w:rPr>
          <w:rFonts w:ascii="Times New Roman" w:hAnsi="Times New Roman" w:cs="Times New Roman"/>
          <w:bCs/>
          <w:sz w:val="24"/>
          <w:szCs w:val="24"/>
        </w:rPr>
        <w:t>d</w:t>
      </w:r>
      <w:r w:rsidRPr="00030AAD">
        <w:rPr>
          <w:rFonts w:ascii="Times New Roman" w:hAnsi="Times New Roman" w:cs="Times New Roman"/>
          <w:bCs/>
          <w:sz w:val="24"/>
          <w:szCs w:val="24"/>
        </w:rPr>
        <w:t xml:space="preserve"> the sustained release </w:t>
      </w:r>
      <w:r w:rsidR="009071BC" w:rsidRPr="00030AAD">
        <w:rPr>
          <w:rFonts w:ascii="Times New Roman" w:hAnsi="Times New Roman" w:cs="Times New Roman"/>
          <w:bCs/>
          <w:sz w:val="24"/>
          <w:szCs w:val="24"/>
        </w:rPr>
        <w:t>of SIM and showed tha</w:t>
      </w:r>
      <w:r w:rsidRPr="00030AAD">
        <w:rPr>
          <w:rFonts w:ascii="Times New Roman" w:hAnsi="Times New Roman" w:cs="Times New Roman"/>
          <w:bCs/>
          <w:sz w:val="24"/>
          <w:szCs w:val="24"/>
        </w:rPr>
        <w:t xml:space="preserve">t </w:t>
      </w:r>
      <w:proofErr w:type="spellStart"/>
      <w:r w:rsidRPr="00030AAD">
        <w:rPr>
          <w:rFonts w:ascii="Times New Roman" w:hAnsi="Times New Roman" w:cs="Times New Roman"/>
          <w:bCs/>
          <w:sz w:val="24"/>
          <w:szCs w:val="24"/>
        </w:rPr>
        <w:t>SimNP</w:t>
      </w:r>
      <w:proofErr w:type="spellEnd"/>
      <w:r w:rsidRPr="00030AAD">
        <w:rPr>
          <w:rFonts w:ascii="Times New Roman" w:hAnsi="Times New Roman" w:cs="Times New Roman"/>
          <w:bCs/>
          <w:sz w:val="24"/>
          <w:szCs w:val="24"/>
        </w:rPr>
        <w:t xml:space="preserve"> </w:t>
      </w:r>
      <w:r w:rsidR="009071BC" w:rsidRPr="00030AAD">
        <w:rPr>
          <w:rFonts w:ascii="Times New Roman" w:hAnsi="Times New Roman" w:cs="Times New Roman"/>
          <w:bCs/>
          <w:sz w:val="24"/>
          <w:szCs w:val="24"/>
        </w:rPr>
        <w:t>could</w:t>
      </w:r>
      <w:r w:rsidRPr="00030AAD">
        <w:rPr>
          <w:rFonts w:ascii="Times New Roman" w:hAnsi="Times New Roman" w:cs="Times New Roman"/>
          <w:bCs/>
          <w:sz w:val="24"/>
          <w:szCs w:val="24"/>
        </w:rPr>
        <w:t xml:space="preserve"> induce an increase in mineralization </w:t>
      </w:r>
      <w:r w:rsidR="009071BC" w:rsidRPr="00030AAD">
        <w:rPr>
          <w:rFonts w:ascii="Times New Roman" w:hAnsi="Times New Roman" w:cs="Times New Roman"/>
          <w:bCs/>
          <w:sz w:val="24"/>
          <w:szCs w:val="24"/>
        </w:rPr>
        <w:t>and in</w:t>
      </w:r>
      <w:r w:rsidRPr="00030AAD">
        <w:rPr>
          <w:rFonts w:ascii="Times New Roman" w:hAnsi="Times New Roman" w:cs="Times New Roman"/>
          <w:bCs/>
          <w:sz w:val="24"/>
          <w:szCs w:val="24"/>
        </w:rPr>
        <w:t xml:space="preserve"> markers of bone formation (OCN and OPN). There was no clear dose-response to SIM observed </w:t>
      </w:r>
      <w:r w:rsidRPr="00030AAD">
        <w:rPr>
          <w:rFonts w:ascii="Times New Roman" w:hAnsi="Times New Roman" w:cs="Times New Roman"/>
          <w:bCs/>
          <w:i/>
          <w:sz w:val="24"/>
          <w:szCs w:val="24"/>
        </w:rPr>
        <w:t>in vitro</w:t>
      </w:r>
      <w:r w:rsidRPr="00030AAD">
        <w:rPr>
          <w:rFonts w:ascii="Times New Roman" w:hAnsi="Times New Roman" w:cs="Times New Roman"/>
          <w:bCs/>
          <w:sz w:val="24"/>
          <w:szCs w:val="24"/>
        </w:rPr>
        <w:t>. This, however, is not inconsistent with the existing literature and might relate to the fact that high local concentrations of simvastatin can be cytotoxic</w:t>
      </w:r>
      <w:r w:rsidR="00F85CDB" w:rsidRPr="00030AAD">
        <w:rPr>
          <w:rFonts w:ascii="Times New Roman" w:hAnsi="Times New Roman" w:cs="Times New Roman"/>
          <w:bCs/>
          <w:sz w:val="24"/>
          <w:szCs w:val="24"/>
        </w:rPr>
        <w:t>.</w:t>
      </w:r>
      <w:r w:rsidR="00C85AEB" w:rsidRPr="00030AAD">
        <w:rPr>
          <w:rFonts w:ascii="Times New Roman" w:hAnsi="Times New Roman" w:cs="Times New Roman"/>
          <w:bCs/>
          <w:sz w:val="24"/>
          <w:szCs w:val="24"/>
        </w:rPr>
        <w:fldChar w:fldCharType="begin" w:fldLock="1"/>
      </w:r>
      <w:r w:rsidR="00302F26">
        <w:rPr>
          <w:rFonts w:ascii="Times New Roman" w:hAnsi="Times New Roman" w:cs="Times New Roman"/>
          <w:bCs/>
          <w:sz w:val="24"/>
          <w:szCs w:val="24"/>
        </w:rPr>
        <w:instrText>ADDIN CSL_CITATION { "citationItems" : [ { "id" : "ITEM-1", "itemData" : { "DOI" : "10.1002/jor.21421 [doi]", "ISBN" : "1554-527X", "PMID" : "21462251", "abstract" : "Lovastatin exhibits higher thermal stability and lower degradation rate than simvastatin. However, the amount of research studying a lovastatin delivery device has been far less than similar research on simvastatin. As a consequence, a high lovastatin release rate system has not been developed. We hypothesized that highly efficient release of lovastatin from poly(lactic-co-glycolic acid) (PLGA) nanoparticles in a short-term release (7 days) could provide an effective delivery system for bone repair. This study optimized the emulsion (o/w) technique in the fabrication process for PLGA nanoparticles, thereby producing the first recorded case of a high release rate (97%) of lovastatin. We also calculated the calibration curve of lovastatin using a UV spectrometer. The results demonstrated that the ALPase activity in human osteoblasts could be significantly stimulated by lovastatin carried in PLGA nanoparticles, but was prominently decreased by free lovastatin with the concentration higher than 4 microg/ml. Animal studies showed that the amount of lovastatin contained in 1 mg PLGA was the optimum dosage. These results suggest the new lovastatin-releasing PLGA delivery device exhibits potential for clinical treatment of bony defects.", "author" : [ { "dropping-particle" : "", "family" : "Ho", "given" : "M H", "non-dropping-particle" : "", "parse-names" : false, "suffix" : "" }, { "dropping-particle" : "", "family" : "Chiang", "given" : "C P", "non-dropping-particle" : "", "parse-names" : false, "suffix" : "" }, { "dropping-particle" : "", "family" : "Liu", "given" : "Y F", "non-dropping-particle" : "", "parse-names" : false, "suffix" : "" }, { "dropping-particle" : "", "family" : "Kuo", "given" : "M Y", "non-dropping-particle" : "", "parse-names" : false, "suffix" : "" }, { "dropping-particle" : "", "family" : "Lin", "given" : "S K", "non-dropping-particle" : "", "parse-names" : false, "suffix" : "" }, { "dropping-particle" : "", "family" : "Lai", "given" : "J Y", "non-dropping-particle" : "", "parse-names" : false, "suffix" : "" }, { "dropping-particle" : "", "family" : "Lee", "given" : "B S", "non-dropping-particle" : "", "parse-names" : false, "suffix" : "" } ], "container-title" : "Journal of orthopaedic research : official publication of the Orthopaedic Research Society", "id" : "ITEM-1", "issue" : "10", "issued" : { "date-parts" : [ [ "2011", "10" ] ] }, "note" : "LR: 20131121; CI: Copyright (c) 2011; JID: 8404726; 0 (Delayed-Action Preparations); 0 (Drug Carriers); 0 (Hydroxymethylglutaryl-CoA Reductase Inhibitors); 0 (polylactic acid-polyglycolic acid copolymer); 26009-03-0 (Polyglycolic Acid); 33X04XA5AT (Lactic Acid); 9LHU78OQFD (Lovastatin); EC 3.1.3.1 (Alkaline Phosphatase); 2010/11/14 [received]; 2011/03/03 [accepted]; 2011/04/01 [aheadofprint]; ppublish", "page" : "1504-1510", "title" : "Highly efficient release of lovastatin from poly(lactic-co-glycolic acid) nanoparticles enhances bone repair in rats", "type" : "article-journal", "volume" : "29" }, "uris" : [ "http://www.mendeley.com/documents/?uuid=864b85be-cb81-49a0-af4a-32f74259f66c" ] }, { "id" : "ITEM-2", "itemData" : { "DOI" : "10.1002/jbm.a.35499 [doi]", "ISBN" : "1552-4965", "PMID" : "25969423", "abstract" : "Reports on the local delivery of drug loaded injectable hydrogels for bone regeneration are currently limited. This study assessed the effect of controlled simvastatin (SIM) release from a thermo-sensitive hydrogel in vitro and in vivo. We successfully manufactured and evaluated thermo-sensitive poly(d,l-lactide-co-glycolide)-poly(ethylene glycol)-poly(d,l-lactide-co-glycolide) triblock copolymers (PLGA-PEG-PLGA) loaded with SIM. The osteogenic effect of this hydrogel was tested in vitro and in vivo. MC-3T3 E1 cells proliferation and osteoblastic differentiation was analyzed after cultivation with the hydrogel extracts. Cells co-cultured with SIM/PLGA-PEG-PLGA extracts showed an increase in mineralization and osteogenic gene expression compared to the other two groups. Additionally, the characteristics of this composite in vivo were demonstrated using a rat bone defect model. The bone defects injected with SIM/PLGA-PEG-PLGA hydrogel showed increased new bone formation compared to samples treated with PLGA-PEG-PLGA and control samples. The results of this study suggest that SIM/PLGA-PEG-PLGA might provide potential therapeutic value for bone healing. (c) 2015 Wiley Periodicals, Inc. J Biomed Mater Res Part A: 103A: 3580-3589, 2015.", "author" : [ { "dropping-particle" : "", "family" : "Yan", "given" : "Q", "non-dropping-particle" : "", "parse-names" : false, "suffix" : "" }, { "dropping-particle" : "", "family" : "Xiao", "given" : "L Q", "non-dropping-particle" : "", "parse-names" : false, "suffix" : "" }, { "dropping-particle" : "", "family" : "Tan", "given" : "L", "non-dropping-particle" : "", "parse-names" : false, "suffix" : "" }, { "dropping-particle" : "", "family" : "Sun", "given" : "W", "non-dropping-particle" : "", "parse-names" : false, "suffix" : "" }, { "dropping-particle" : "", "family" : "Wu", "given" : "T", "non-dropping-particle" : "", "parse-names" : false, "suffix" : "" }, { "dropping-particle" : "", "family" : "Chen", "given" : "L W", "non-dropping-particle" : "", "parse-names" : false, "suffix" : "" }, { "dropping-particle" : "", "family" : "Mei", "given" : "Y", "non-dropping-particle" : "", "parse-names" : false, "suffix" : "" }, { "dropping-particle" : "", "family" : "Shi", "given" : "B", "non-dropping-particle" : "", "parse-names" : false, "suffix" : "" } ], "container-title" : "Journal of biomedical materials research.Part A", "id" : "ITEM-2", "issue" : "11", "issued" : { "date-parts" : [ [ "2015", "11" ] ] }, "note" : "CI: (c) 2015; JID: 101234237; OTO: NOTNLM; 2015/02/28 [received]; 2015/04/22 [revised]; 2015/05/06 [accepted]; 2015/05/29 [aheadofprint]; ppublish", "page" : "3580-3589", "title" : "Controlled release of simvastatin-loaded thermo-sensitive PLGA-PEG-PLGA hydrogel for bone tissue regeneration: in vitro and in vivo characteristics", "type" : "article-journal", "volume" : "103" }, "uris" : [ "http://www.mendeley.com/documents/?uuid=e255de64-52aa-4267-8268-4f842dc4adf8" ] } ], "mendeley" : { "formattedCitation" : "&lt;sup&gt;24,40&lt;/sup&gt;", "plainTextFormattedCitation" : "24,40", "previouslyFormattedCitation" : "&lt;sup&gt;24,40&lt;/sup&gt;" }, "properties" : { "noteIndex" : 0 }, "schema" : "https://github.com/citation-style-language/schema/raw/master/csl-citation.json" }</w:instrText>
      </w:r>
      <w:r w:rsidR="00C85AEB" w:rsidRPr="00030AAD">
        <w:rPr>
          <w:rFonts w:ascii="Times New Roman" w:hAnsi="Times New Roman" w:cs="Times New Roman"/>
          <w:bCs/>
          <w:sz w:val="24"/>
          <w:szCs w:val="24"/>
        </w:rPr>
        <w:fldChar w:fldCharType="separate"/>
      </w:r>
      <w:r w:rsidR="00030AAD" w:rsidRPr="00030AAD">
        <w:rPr>
          <w:rFonts w:ascii="Times New Roman" w:hAnsi="Times New Roman" w:cs="Times New Roman"/>
          <w:bCs/>
          <w:noProof/>
          <w:sz w:val="24"/>
          <w:szCs w:val="24"/>
          <w:vertAlign w:val="superscript"/>
        </w:rPr>
        <w:t>24,40</w:t>
      </w:r>
      <w:r w:rsidR="00C85AEB" w:rsidRPr="00030AAD">
        <w:rPr>
          <w:rFonts w:ascii="Times New Roman" w:hAnsi="Times New Roman" w:cs="Times New Roman"/>
          <w:bCs/>
          <w:sz w:val="24"/>
          <w:szCs w:val="24"/>
        </w:rPr>
        <w:fldChar w:fldCharType="end"/>
      </w:r>
      <w:r w:rsidRPr="00030AAD">
        <w:rPr>
          <w:rFonts w:ascii="Times New Roman" w:hAnsi="Times New Roman" w:cs="Times New Roman"/>
          <w:bCs/>
          <w:sz w:val="24"/>
          <w:szCs w:val="24"/>
        </w:rPr>
        <w:t xml:space="preserve"> Determining the optimal dosing of SIM and </w:t>
      </w:r>
      <w:proofErr w:type="spellStart"/>
      <w:r w:rsidRPr="00030AAD">
        <w:rPr>
          <w:rFonts w:ascii="Times New Roman" w:hAnsi="Times New Roman" w:cs="Times New Roman"/>
          <w:bCs/>
          <w:sz w:val="24"/>
          <w:szCs w:val="24"/>
        </w:rPr>
        <w:t>SimNP</w:t>
      </w:r>
      <w:proofErr w:type="spellEnd"/>
      <w:r w:rsidRPr="00030AAD">
        <w:rPr>
          <w:rFonts w:ascii="Times New Roman" w:hAnsi="Times New Roman" w:cs="Times New Roman"/>
          <w:bCs/>
          <w:sz w:val="24"/>
          <w:szCs w:val="24"/>
        </w:rPr>
        <w:t xml:space="preserve">, including the minimum cytotoxic dose, is an important area of future investigation. Our dosing of SIM drug </w:t>
      </w:r>
      <w:r w:rsidRPr="00030AAD">
        <w:rPr>
          <w:rFonts w:ascii="Times New Roman" w:hAnsi="Times New Roman" w:cs="Times New Roman"/>
          <w:bCs/>
          <w:i/>
          <w:sz w:val="24"/>
          <w:szCs w:val="24"/>
        </w:rPr>
        <w:t>in vivo</w:t>
      </w:r>
      <w:r w:rsidRPr="00030AAD">
        <w:rPr>
          <w:rFonts w:ascii="Times New Roman" w:hAnsi="Times New Roman" w:cs="Times New Roman"/>
          <w:bCs/>
          <w:sz w:val="24"/>
          <w:szCs w:val="24"/>
        </w:rPr>
        <w:t xml:space="preserve"> was guided by previous research on fracture healing</w:t>
      </w:r>
      <w:r w:rsidR="00C85AEB" w:rsidRPr="00030AAD">
        <w:rPr>
          <w:rFonts w:ascii="Times New Roman" w:eastAsia="Times New Roman" w:hAnsi="Times New Roman" w:cs="Times New Roman"/>
          <w:sz w:val="24"/>
          <w:szCs w:val="24"/>
        </w:rPr>
        <w:fldChar w:fldCharType="begin" w:fldLock="1"/>
      </w:r>
      <w:r w:rsidR="00302F26">
        <w:rPr>
          <w:rFonts w:ascii="Times New Roman" w:eastAsia="Times New Roman" w:hAnsi="Times New Roman" w:cs="Times New Roman"/>
          <w:sz w:val="24"/>
          <w:szCs w:val="24"/>
        </w:rPr>
        <w:instrText>ADDIN CSL_CITATION { "citationItems" : [ { "id" : "ITEM-1", "itemData" : { "DOI" : "10.2147/IJN.S48694 [doi]", "ISBN" : "1178-2013", "PMID" : "24143094", "abstract" : "Statins are used clinically for reduction of cholesterol synthesis to prevent cardiovascular disease. Previous in vitro and in vivo studies have shown that statins stimulate bone formation. However, orally administered statins may be degraded during first-pass metabolism in the liver. This study aimed to prevent this degradation by developing a locally administered formulation of simvastatin that is encapsulated in poly(lactic-co-glycolic acid)/hydroxyapatite (SIM/PLGA/HAp) microspheres with controlled-release properties. The effect of this formulation of simvastatin on bone repair was tested using a mouse model of gap fracture bridging with a graft of necrotic bone. The simvastatin released over 12 days from 3 mg and 5 mg of SIM/PLGA/HAp was 0.03-1.6 mug/day and 0.05-2.6 mug/day, respectively. SIM/PLGA/HAp significantly stimulated callus formation around the repaired area and increased neovascularization and cell ingrowth in the grafted necrotic bone at week 2 after surgery. At week 4, both 3 mg and 5 mg of SIM/PLGA/HAp increased neovascularization, but only 5 mg SIM/PLGA/HAp enhanced cell ingrowth into the necrotic bone. The low dose of simvastatin released from SIM/PLGA/HAp enhanced initial callus formation, neovascularization, and cell ingrowth in the grafted bone, indicating that SIM/PLGA/HAp facilitates bone regeneration. We suggest that SIM/PLGA/HAp should be developed as an osteoinductive agent to treat osteonecrosis or in combination with an osteoconductive scaffold to treat severe bone defects.", "author" : [ { "dropping-particle" : "", "family" : "Tai", "given" : "I C", "non-dropping-particle" : "", "parse-names" : false, "suffix" : "" }, { "dropping-particle" : "", "family" : "Fu", "given" : "Y C", "non-dropping-particle" : "", "parse-names" : false, "suffix" : "" }, { "dropping-particle" : "", "family" : "Wang", "given" : "C K", "non-dropping-particle" : "", "parse-names" : false, "suffix" : "" }, { "dropping-particle" : "", "family" : "Chang", "given" : "J K", "non-dropping-particle" : "", "parse-names" : false, "suffix" : "" }, { "dropping-particle" : "", "family" : "Ho", "given" : "M L", "non-dropping-particle" : "", "parse-names" : false, "suffix" : "" } ], "container-title" : "International journal of nanomedicine", "id" : "ITEM-1", "issued" : { "date-parts" : [ [ "2013" ] ] }, "note" : "JID: 101263847; 0 (Capsules); 0 (Delayed-Action Preparations); 0 (polylactic acid-polyglycolic acid copolymer); 26009-03-0 (Polyglycolic Acid); 33X04XA5AT (Lactic Acid); 91D9GV0Z28 (Durapatite); AGG2FN16EV (Simvastatin); OID: NLM: PMC3798145; OTO: NOTNLM; 2013 [ecollection]; 2013/10/11 [epublish]; ppublish", "page" : "3895-3904", "title" : "Local delivery of controlled-release simvastatin/PLGA/HAp microspheres enhances bone repair", "type" : "article-journal", "volume" : "8" }, "uris" : [ "http://www.mendeley.com/documents/?uuid=08a4a3a1-48ce-4f25-bdfe-9dbe85b3e782" ] }, { "id" : "ITEM-2", "itemData" : { "DOI" : "10.1590/S0102-86502014000200003 [doi]", "ISBN" : "1678-2674", "PMID" : "24604311", "abstract" : "PURPOSE: To evaluate the effect of a local application of simvastatin gel in repairing bone defects in the femurs of rabbits. METHODS: Two standard surgical cavities were created in the femoral epiphysis of 18 rabbits. In the simvastatin group (SG), the cavities were filled with a collagen sponge soaked in 0.5 ml of a simvastatin (1 mg) gel, and the cavities were covered with a biological membrane. The bone cavities in the second group (control group) were filled with a blood clot and covered with a biological membrane. On the 7th, 21st and 42nd days, six animals in each group were euthanized, and the femurs were subject to histological evaluation (vascularity, fibrosis, reactive bone formation, osteoblasts, and osteoclasts) and immunohistochemical (anti-VEGF and anti-osteocalcin) analysis. The results were analyzed using a Wilcoxon test (p&lt;0.05). RESULTS: There were significant differences between the two groups: the SG had greater scores in comparison with the CG in terms of the degree of vascularity on the 7th and the 21st days, fibrosis on the 21st day, bone formation reaction on the 21st and the 42nd days and the number of osteoblasts and osteoclasts on the 42nd day. The immunohistochemical expression was also greater for osteocalcin and VEGF on the 7th, 21st and 42nd days. CONCLUSION: Surgical defects created in rabbit femurs were treated locally with simvastatin gel to stimulate bone repair, which promoted an ameliorative effect in the morphological and immunohistochemical markers of bone regeneration.", "author" : [ { "dropping-particle" : "", "family" : "Rosselli", "given" : "J E", "non-dropping-particle" : "", "parse-names" : false, "suffix" : "" }, { "dropping-particle" : "", "family" : "Martins", "given" : "D M", "non-dropping-particle" : "", "parse-names" : false, "suffix" : "" }, { "dropping-particle" : "", "family" : "Martins", "given" : "J L", "non-dropping-particle" : "", "parse-names" : false, "suffix" : "" }, { "dropping-particle" : "", "family" : "Oliveira", "given" : "C R", "non-dropping-particle" : "", "parse-names" : false, "suffix" : "" }, { "dropping-particle" : "", "family" : "Fagundes", "given" : "D J", "non-dropping-particle" : "", "parse-names" : false, "suffix" : "" }, { "dropping-particle" : "", "family" : "Taha", "given" : "M O", "non-dropping-particle" : "", "parse-names" : false, "suffix" : "" } ], "container-title" : "Acta cirurgica brasileira / Sociedade Brasileira para Desenvolvimento Pesquisa em Cirurgia", "id" : "ITEM-2", "issue" : "2", "issued" : { "date-parts" : [ [ "2014", "2" ] ] }, "note" : "JID: 9103983; 0 (Gels); 0 (Hydroxymethylglutaryl-CoA Reductase Inhibitors); 0 (Vascular Endothelial Growth Factor A); 104982-03-8 (Osteocalcin); AGG2FN16EV (Simvastatin); 2013/10/15 [received]; 2014/01/20 [accepted]; ppublish", "page" : "87-92", "title" : "The effect of simvastatin on the regeneration of surgical cavities in the femurs of rabbits", "type" : "article-journal", "volume" : "29" }, "uris" : [ "http://www.mendeley.com/documents/?uuid=69e84c21-24f6-4dea-aa1d-b6d475dbc036" ] }, { "id" : "ITEM-3", "itemData" : { "DOI" : "10.1007/s00198-007-0412-2 [doi]", "ISBN" : "0937-941X", "PMID" : "17622479", "abstract" : "Simvastatin solution was injected subcutaneously to the site of fractured tibiae of ovariectomized rats. Afterwards healing quality was evaluated by morphologic, radiographic, biomechanical, histological and histomorphometric methods at 1, 2 and 4 weeks after fracture. Results showed that locally applied simvastatin improved fracture healing. INTRODUCTION: Many studies have documented an anabolic effect of hydroxymethylglutaryl coenzyme A (HMG-CoA) reductase inhibitors, statins, on undisturbed bone. Reports of their effects, however, on fractured skeletal systems have been limited. A study was, therefore, conducted to check the effects of statins on fracture healing. METHODS: Simvastatin (10 mg/kg/day) was injected subcutaneously to tissue overlying the site of fractured tibiae of ovariectomized rats for a treatment period of 5 days. Vehicle reagent was used as a control. Healing quality was evaluated at 1, 2 and 4 weeks after fracture. RESULTS: Compared with that in the vehicle group, the callus cross-section area in simvastatin-treated rats was significantly enlarged by 21.3% (p &lt; 0.05) at 1 week and by 21.5% (p &lt; 0.05) at 2 weeks; new woven bone was relatively substantive and arranged more tightly and regularly at 2 and 4 weeks; and maximal load was increased by 57.5% (p &lt; 0.05) at 2 weeks and by 31.4% (p &lt; 0.05) at 4 weeks. Histomorphometrically, simvastatin was associated with a significant (p &lt; 0.05) increase of mineralization width (MLW), mineralization volume (MLV) and mineral apposition rate (MAR). CONCLUSION: The current study suggests that local application of simvastatin could promote fracture healing in ovariectomized rats.", "author" : [ { "dropping-particle" : "", "family" : "Wang", "given" : "J W", "non-dropping-particle" : "", "parse-names" : false, "suffix" : "" }, { "dropping-particle" : "", "family" : "Xu", "given" : "S W", "non-dropping-particle" : "", "parse-names" : false, "suffix" : "" }, { "dropping-particle" : "", "family" : "Yang", "given" : "D S", "non-dropping-particle" : "", "parse-names" : false, "suffix" : "" }, { "dropping-particle" : "", "family" : "Lv", "given" : "R K", "non-dropping-particle" : "", "parse-names" : false, "suffix" : "" } ], "container-title" : "Osteoporosis international : a journal established as result of cooperation between the European Foundation for Osteoporosis and the National Osteoporosis Foundation of the USA", "id" : "ITEM-3", "issue" : "12", "issued" : { "date-parts" : [ [ "2007", "12" ] ] }, "note" : "LR: 20131121; JID: 9100105; 0 (Hydroxymethylglutaryl-CoA Reductase Inhibitors); 97C5T2UQ7J (Cholesterol); AGG2FN16EV (Simvastatin); EC 3.1.3.1 (Alkaline Phosphatase); CIN: Osteoporos Int. 2008 Nov;19(11):1643; author reply 1645. PMID: 18421543; 2007/01/20 [received]; 2007/05/31 [accepted]; 2007/07/11 [aheadofprint]; ppublish", "page" : "1641-1650", "title" : "Locally applied simvastatin promotes fracture healing in ovariectomized rat", "type" : "article-journal", "volume" : "18" }, "uris" : [ "http://www.mendeley.com/documents/?uuid=4640e21c-36a9-44e4-8d10-b2a65dd069f5" ] }, { "id" : "ITEM-4", "itemData" : { "DOI" : "10.1016/j.jcms.2014.11.011 [doi]", "ISBN" : "1878-4119", "PMID" : "25534041", "abstract" : "Simvastatin (SIM), which is widely used in hyperlipidemia treatment, has also attracted attention due to its anabolic effects on bones. This study is designed to investigate the effectiveness of 2 mg SIM combined with 3 different carriers as delivery systems. Bone defects were surgically created in the femoral bones of 14 New Zealand white rabbits. The carriers used were the inorganic bovine bone graft (BOS), the hydroxyapatite combined with calcium sulfate (HACS), and the collagen sponge (COS). The bone defects were divided for each time period into 7 groups, as follows: passive control group (CONT), active control groups (BOS), (HACS) and (COS) (no simvastatin), and groups (BOS + SIM), (HACS + SIM) (carrier and simvastatin combination). Animal were sacrificed at 4 and 8 weeks postoperatively, and bone defects areas were prepared for histological examination and histomorphometric evaluation. Analysis of variance demonstrated statistically significant differences between groups depending on the carrier used. At 4 weeks, the BOS + SIM group presented higher rates of new bone formation, whereas at 8 weeks more new bone formation was noted for the HACS + SIM group. This study suggests that local application of simvastatin, combined with an appropriate carrier, can promote new bone formation.", "author" : [ { "dropping-particle" : "", "family" : "Papadimitriou", "given" : "K", "non-dropping-particle" : "", "parse-names" : false, "suffix" : "" }, { "dropping-particle" : "", "family" : "Karkavelas", "given" : "G", "non-dropping-particle" : "", "parse-names" : false, "suffix" : "" }, { "dropping-particle" : "", "family" : "Vouros", "given" : "I", "non-dropping-particle" : "", "parse-names" : false, "suffix" : "" }, { "dropping-particle" : "", "family" : "Kessopoulou", "given" : "E", "non-dropping-particle" : "", "parse-names" : false, "suffix" : "" }, { "dropping-particle" : "", "family" : "Konstantinidis", "given" : "A", "non-dropping-particle" : "", "parse-names" : false, "suffix" : "" } ], "container-title" : "Journal of cranio-maxillo-facial surgery : official publication of the European Association for Cranio-Maxillo-Facial Surgery", "id" : "ITEM-4", "issue" : "2", "issued" : { "date-parts" : [ [ "2015", "3" ] ] }, "note" : "CI: Copyright (c) 2014; JID: 8704309; OTO: NOTNLM; 2014/02/26 [received]; 2014/10/07 [revised]; 2014/11/12 [accepted]; 2014/11/20 [aheadofprint]; ppublish", "page" : "232-237", "title" : "Effects of local application of simvastatin on bone regeneration in femoral bone defects in rabbit", "type" : "article-journal", "volume" : "43" }, "uris" : [ "http://www.mendeley.com/documents/?uuid=1eaaf341-a86c-4c69-be31-3a6c36799d50" ] }, { "id" : "ITEM-5", "itemData" : { "DOI" : "10.12659/MSM.892247 [doi]", "ISBN" : "1643-3750", "PMID" : "25982481", "abstract" : "BACKGROUND: Statins have been reported to promote bone formation. However, taken orally, their bioavailability is low to the bones. Implant therapies require a local repair response, topical application of osteoinductive agents, or biomaterials that promote implant fixation. MATERIAL/METHODS: The present study evaluated the effect of a single local injection of simvastatin on screw fixation in an ovariectomized rat model of osteoporosis. RESULTS: Dual-energy X-ray absorptiometry, micro-computed tomography, histology, and biomechanical tests revealed that 5 and 10 mg simvastatin significantly improved bone mineral density by 18.2% and 22.4%, respectively (P&lt;0.05); increased bone volume fraction by 51.0% and 57.9%, trabecular thickness by 16.4% and 18.9%, trabeculae number by 112.0% and 107.1%, and percentage of osseointegration by 115.7% and 126.3%; and decreased trabeculae separation by 34.1% and 36.6%, respectively (all P&lt;0.01). Bone mineral apposition rate was significantly increased (P&lt;0.01). Furthermore, implant fixation was significantly increased (P&lt;0.05), and bone morphogenetic protein 2 (BMP2) expression was markedly increased. Local injection of a single dose of simvastatin also promoted angiogenesis. Vessel number, volume, thickness, surface area, and vascular volume per tissue volume were significantly increased (all P&lt;0.01). Vascular endothelial growth factor (VEGF), VEGF receptor-2, von Willebrand factor, and platelet endothelial cell adhesion molecule-1 expression were enhanced. CONCLUSIONS: A single local injection of simvastatin significantly increased bone formation, promoted osseointegration, and enhanced implant fixation in ovariectomized rats. The underlying mechanism appears to involve enhanced BMP2 expression and angiogenesis in the target bone.", "author" : [ { "dropping-particle" : "", "family" : "Tan", "given" : "J", "non-dropping-particle" : "", "parse-names" : false, "suffix" : "" }, { "dropping-particle" : "", "family" : "Yang", "given" : "N", "non-dropping-particle" : "", "parse-names" : false, "suffix" : "" }, { "dropping-particle" : "", "family" : "Fu", "given" : "X", "non-dropping-particle" : "", "parse-names" : false, "suffix" : "" }, { "dropping-particle" : "", "family" : "Cui", "given" : "Y", "non-dropping-particle" : "", "parse-names" : false, "suffix" : "" }, { "dropping-particle" : "", "family" : "Guo", "given" : "Q", "non-dropping-particle" : "", "parse-names" : false, "suffix" : "" }, { "dropping-particle" : "", "family" : "Ma", "given" : "T", "non-dropping-particle" : "", "parse-names" : false, "suffix" : "" }, { "dropping-particle" : "", "family" : "Yin", "given" : "X", "non-dropping-particle" : "", "parse-names" : false, "suffix" : "" }, { "dropping-particle" : "", "family" : "Leng", "given" : "H", "non-dropping-particle" : "", "parse-names" : false, "suffix" : "" }, { "dropping-particle" : "", "family" : "Song", "given" : "C", "non-dropping-particle" : "", "parse-names" : false, "suffix" : "" } ], "container-title" : "Medical science monitor : international medical journal of experimental and clinical research", "id" : "ITEM-5", "issued" : { "date-parts" : [ [ "2015", "5" ] ] }, "note" : "LR: 20150610; JID: 9609063; OID: NLM: PMC4448596; epublish", "page" : "1428-1439", "title" : "Single-dose local simvastatin injection improves implant fixation via increased angiogenesis and bone formation in an ovariectomized rat model", "type" : "article-journal", "volume" : "21" }, "uris" : [ "http://www.mendeley.com/documents/?uuid=db007606-7384-4a10-9c4e-bc398b7871a2" ] } ], "mendeley" : { "formattedCitation" : "&lt;sup&gt;28\u201332&lt;/sup&gt;", "plainTextFormattedCitation" : "28\u201332", "previouslyFormattedCitation" : "&lt;sup&gt;28\u201332&lt;/sup&gt;" }, "properties" : { "noteIndex" : 0 }, "schema" : "https://github.com/citation-style-language/schema/raw/master/csl-citation.json" }</w:instrText>
      </w:r>
      <w:r w:rsidR="00C85AEB" w:rsidRPr="00030AAD">
        <w:rPr>
          <w:rFonts w:ascii="Times New Roman" w:eastAsia="Times New Roman" w:hAnsi="Times New Roman" w:cs="Times New Roman"/>
          <w:sz w:val="24"/>
          <w:szCs w:val="24"/>
        </w:rPr>
        <w:fldChar w:fldCharType="separate"/>
      </w:r>
      <w:r w:rsidR="00030AAD" w:rsidRPr="00030AAD">
        <w:rPr>
          <w:rFonts w:ascii="Times New Roman" w:eastAsia="Times New Roman" w:hAnsi="Times New Roman" w:cs="Times New Roman"/>
          <w:noProof/>
          <w:sz w:val="24"/>
          <w:szCs w:val="24"/>
          <w:vertAlign w:val="superscript"/>
        </w:rPr>
        <w:t>28–32</w:t>
      </w:r>
      <w:r w:rsidR="00C85AEB" w:rsidRPr="00030AAD">
        <w:rPr>
          <w:rFonts w:ascii="Times New Roman" w:eastAsia="Times New Roman" w:hAnsi="Times New Roman" w:cs="Times New Roman"/>
          <w:sz w:val="24"/>
          <w:szCs w:val="24"/>
        </w:rPr>
        <w:fldChar w:fldCharType="end"/>
      </w:r>
      <w:r w:rsidR="00C85AEB" w:rsidRPr="00030AAD">
        <w:rPr>
          <w:rFonts w:ascii="Times New Roman" w:eastAsia="Times New Roman" w:hAnsi="Times New Roman" w:cs="Times New Roman"/>
          <w:sz w:val="24"/>
          <w:szCs w:val="24"/>
        </w:rPr>
        <w:t xml:space="preserve"> </w:t>
      </w:r>
      <w:r w:rsidRPr="00030AAD">
        <w:rPr>
          <w:rFonts w:ascii="Times New Roman" w:hAnsi="Times New Roman" w:cs="Times New Roman"/>
          <w:bCs/>
          <w:sz w:val="24"/>
          <w:szCs w:val="24"/>
        </w:rPr>
        <w:t xml:space="preserve">and the </w:t>
      </w:r>
      <w:proofErr w:type="spellStart"/>
      <w:r w:rsidRPr="00030AAD">
        <w:rPr>
          <w:rFonts w:ascii="Times New Roman" w:hAnsi="Times New Roman" w:cs="Times New Roman"/>
          <w:bCs/>
          <w:sz w:val="24"/>
          <w:szCs w:val="24"/>
        </w:rPr>
        <w:t>SimNP</w:t>
      </w:r>
      <w:proofErr w:type="spellEnd"/>
      <w:r w:rsidRPr="00030AAD">
        <w:rPr>
          <w:rFonts w:ascii="Times New Roman" w:hAnsi="Times New Roman" w:cs="Times New Roman"/>
          <w:bCs/>
          <w:sz w:val="24"/>
          <w:szCs w:val="24"/>
        </w:rPr>
        <w:t xml:space="preserve"> dose was calculated to roughly match this dose. We hypothesize that the sustained release of SIM by the nanoparticles results in lower l</w:t>
      </w:r>
      <w:r w:rsidR="009071BC" w:rsidRPr="00030AAD">
        <w:rPr>
          <w:rFonts w:ascii="Times New Roman" w:hAnsi="Times New Roman" w:cs="Times New Roman"/>
          <w:bCs/>
          <w:sz w:val="24"/>
          <w:szCs w:val="24"/>
        </w:rPr>
        <w:t>ocal concentrations that provide</w:t>
      </w:r>
      <w:r w:rsidRPr="00030AAD">
        <w:rPr>
          <w:rFonts w:ascii="Times New Roman" w:hAnsi="Times New Roman" w:cs="Times New Roman"/>
          <w:bCs/>
          <w:sz w:val="24"/>
          <w:szCs w:val="24"/>
        </w:rPr>
        <w:t xml:space="preserve"> the bone-anabolic effects of SIM while avoiding the cytotoxicity. Additionally, sustained release might be beneficial because </w:t>
      </w:r>
      <w:proofErr w:type="spellStart"/>
      <w:r w:rsidRPr="00030AAD">
        <w:rPr>
          <w:rFonts w:ascii="Times New Roman" w:hAnsi="Times New Roman" w:cs="Times New Roman"/>
          <w:bCs/>
          <w:sz w:val="24"/>
          <w:szCs w:val="24"/>
        </w:rPr>
        <w:t>bolused</w:t>
      </w:r>
      <w:proofErr w:type="spellEnd"/>
      <w:r w:rsidRPr="00030AAD">
        <w:rPr>
          <w:rFonts w:ascii="Times New Roman" w:hAnsi="Times New Roman" w:cs="Times New Roman"/>
          <w:bCs/>
          <w:sz w:val="24"/>
          <w:szCs w:val="24"/>
        </w:rPr>
        <w:t xml:space="preserve"> local delivery of the drug alone may be washed out before any meaningful bone healing can occur. We believe that </w:t>
      </w:r>
      <w:proofErr w:type="gramStart"/>
      <w:r w:rsidRPr="00030AAD">
        <w:rPr>
          <w:rFonts w:ascii="Times New Roman" w:hAnsi="Times New Roman" w:cs="Times New Roman"/>
          <w:bCs/>
          <w:sz w:val="24"/>
          <w:szCs w:val="24"/>
        </w:rPr>
        <w:t>this is why</w:t>
      </w:r>
      <w:proofErr w:type="gramEnd"/>
      <w:r w:rsidRPr="00030AAD">
        <w:rPr>
          <w:rFonts w:ascii="Times New Roman" w:hAnsi="Times New Roman" w:cs="Times New Roman"/>
          <w:bCs/>
          <w:sz w:val="24"/>
          <w:szCs w:val="24"/>
        </w:rPr>
        <w:t xml:space="preserve"> </w:t>
      </w:r>
      <w:proofErr w:type="spellStart"/>
      <w:r w:rsidRPr="00030AAD">
        <w:rPr>
          <w:rFonts w:ascii="Times New Roman" w:hAnsi="Times New Roman" w:cs="Times New Roman"/>
          <w:bCs/>
          <w:sz w:val="24"/>
          <w:szCs w:val="24"/>
        </w:rPr>
        <w:t>SimNP</w:t>
      </w:r>
      <w:proofErr w:type="spellEnd"/>
      <w:r w:rsidRPr="00030AAD">
        <w:rPr>
          <w:rFonts w:ascii="Times New Roman" w:hAnsi="Times New Roman" w:cs="Times New Roman"/>
          <w:bCs/>
          <w:sz w:val="24"/>
          <w:szCs w:val="24"/>
        </w:rPr>
        <w:t xml:space="preserve"> rats had higher XR scores compared to the SIM drug animals. </w:t>
      </w:r>
    </w:p>
    <w:p w14:paraId="32DC8FE6" w14:textId="3F5DA457" w:rsidR="0048434D" w:rsidRPr="00030AAD" w:rsidRDefault="0048434D" w:rsidP="2CC57DB6">
      <w:pPr>
        <w:rPr>
          <w:rFonts w:ascii="Times New Roman" w:hAnsi="Times New Roman" w:cs="Times New Roman"/>
          <w:bCs/>
          <w:sz w:val="24"/>
          <w:szCs w:val="24"/>
        </w:rPr>
      </w:pPr>
      <w:r w:rsidRPr="00030AAD">
        <w:rPr>
          <w:rFonts w:ascii="Times New Roman" w:hAnsi="Times New Roman" w:cs="Times New Roman"/>
          <w:bCs/>
          <w:sz w:val="24"/>
          <w:szCs w:val="24"/>
        </w:rPr>
        <w:t xml:space="preserve">We believe our results </w:t>
      </w:r>
      <w:r w:rsidRPr="00030AAD">
        <w:rPr>
          <w:rFonts w:ascii="Times New Roman" w:hAnsi="Times New Roman" w:cs="Times New Roman"/>
          <w:bCs/>
          <w:sz w:val="24"/>
          <w:szCs w:val="24"/>
        </w:rPr>
        <w:t xml:space="preserve">argue strongly for further investigation into the utility of statins as an adjunct to help achieve spinal fusion. Future work involves quantification of the </w:t>
      </w:r>
      <w:proofErr w:type="spellStart"/>
      <w:r w:rsidRPr="00030AAD">
        <w:rPr>
          <w:rFonts w:ascii="Times New Roman" w:hAnsi="Times New Roman" w:cs="Times New Roman"/>
          <w:bCs/>
          <w:sz w:val="24"/>
          <w:szCs w:val="24"/>
        </w:rPr>
        <w:t>uCT</w:t>
      </w:r>
      <w:proofErr w:type="spellEnd"/>
      <w:r w:rsidRPr="00030AAD">
        <w:rPr>
          <w:rFonts w:ascii="Times New Roman" w:hAnsi="Times New Roman" w:cs="Times New Roman"/>
          <w:bCs/>
          <w:sz w:val="24"/>
          <w:szCs w:val="24"/>
        </w:rPr>
        <w:t xml:space="preserve"> data</w:t>
      </w:r>
      <w:r w:rsidR="00A107E0" w:rsidRPr="00030AAD">
        <w:rPr>
          <w:rFonts w:ascii="Times New Roman" w:hAnsi="Times New Roman" w:cs="Times New Roman"/>
          <w:bCs/>
          <w:sz w:val="24"/>
          <w:szCs w:val="24"/>
        </w:rPr>
        <w:t>, determining dose-response relationship</w:t>
      </w:r>
      <w:r w:rsidR="007B7223" w:rsidRPr="00030AAD">
        <w:rPr>
          <w:rFonts w:ascii="Times New Roman" w:hAnsi="Times New Roman" w:cs="Times New Roman"/>
          <w:bCs/>
          <w:sz w:val="24"/>
          <w:szCs w:val="24"/>
        </w:rPr>
        <w:t>s</w:t>
      </w:r>
      <w:r w:rsidRPr="00030AAD">
        <w:rPr>
          <w:rFonts w:ascii="Times New Roman" w:hAnsi="Times New Roman" w:cs="Times New Roman"/>
          <w:bCs/>
          <w:sz w:val="24"/>
          <w:szCs w:val="24"/>
        </w:rPr>
        <w:t xml:space="preserve"> and replication </w:t>
      </w:r>
      <w:r w:rsidRPr="00030AAD">
        <w:rPr>
          <w:rFonts w:ascii="Times New Roman" w:hAnsi="Times New Roman" w:cs="Times New Roman"/>
          <w:bCs/>
          <w:sz w:val="24"/>
          <w:szCs w:val="24"/>
        </w:rPr>
        <w:t xml:space="preserve">of our results </w:t>
      </w:r>
      <w:r w:rsidRPr="00030AAD">
        <w:rPr>
          <w:rFonts w:ascii="Times New Roman" w:hAnsi="Times New Roman" w:cs="Times New Roman"/>
          <w:bCs/>
          <w:sz w:val="24"/>
          <w:szCs w:val="24"/>
        </w:rPr>
        <w:t xml:space="preserve">in a large animal model. </w:t>
      </w:r>
    </w:p>
    <w:p w14:paraId="026FDD87" w14:textId="40B1CA26" w:rsidR="00704A14" w:rsidRDefault="00336941" w:rsidP="2CC57DB6">
      <w:pPr>
        <w:rPr>
          <w:rFonts w:ascii="Times New Roman" w:hAnsi="Times New Roman" w:cs="Times New Roman"/>
          <w:bCs/>
          <w:sz w:val="24"/>
          <w:szCs w:val="24"/>
        </w:rPr>
      </w:pPr>
      <w:r w:rsidRPr="00030AAD">
        <w:rPr>
          <w:rFonts w:ascii="Times New Roman" w:hAnsi="Times New Roman" w:cs="Times New Roman"/>
          <w:bCs/>
          <w:sz w:val="24"/>
          <w:szCs w:val="24"/>
        </w:rPr>
        <w:t xml:space="preserve">To our knowledge, this is the first study to demonstrate that the local delivery of simvastatin using a PLGA nanoparticle can assist in achieving spinal fusion in an animal model. Rats treated with </w:t>
      </w:r>
      <w:proofErr w:type="spellStart"/>
      <w:r w:rsidRPr="00030AAD">
        <w:rPr>
          <w:rFonts w:ascii="Times New Roman" w:hAnsi="Times New Roman" w:cs="Times New Roman"/>
          <w:bCs/>
          <w:sz w:val="24"/>
          <w:szCs w:val="24"/>
        </w:rPr>
        <w:t>SimNP</w:t>
      </w:r>
      <w:proofErr w:type="spellEnd"/>
      <w:r w:rsidRPr="00030AAD">
        <w:rPr>
          <w:rFonts w:ascii="Times New Roman" w:hAnsi="Times New Roman" w:cs="Times New Roman"/>
          <w:bCs/>
          <w:sz w:val="24"/>
          <w:szCs w:val="24"/>
        </w:rPr>
        <w:t xml:space="preserve"> had significantly more bone formation on XR and were significantly more likely to achieve fusion judged by MAF compared to control animals (</w:t>
      </w:r>
      <w:proofErr w:type="spellStart"/>
      <w:r w:rsidRPr="00030AAD">
        <w:rPr>
          <w:rFonts w:ascii="Times New Roman" w:hAnsi="Times New Roman" w:cs="Times New Roman"/>
          <w:bCs/>
          <w:sz w:val="24"/>
          <w:szCs w:val="24"/>
        </w:rPr>
        <w:t>BlankNP</w:t>
      </w:r>
      <w:proofErr w:type="spellEnd"/>
      <w:r w:rsidRPr="00030AAD">
        <w:rPr>
          <w:rFonts w:ascii="Times New Roman" w:hAnsi="Times New Roman" w:cs="Times New Roman"/>
          <w:bCs/>
          <w:sz w:val="24"/>
          <w:szCs w:val="24"/>
        </w:rPr>
        <w:t xml:space="preserve">). </w:t>
      </w:r>
      <w:r w:rsidR="005132F2" w:rsidRPr="00030AAD">
        <w:rPr>
          <w:rFonts w:ascii="Times New Roman" w:hAnsi="Times New Roman" w:cs="Times New Roman"/>
          <w:bCs/>
          <w:sz w:val="24"/>
          <w:szCs w:val="24"/>
        </w:rPr>
        <w:t xml:space="preserve"> </w:t>
      </w:r>
    </w:p>
    <w:p w14:paraId="7FA4D85C" w14:textId="77777777" w:rsidR="00704A14" w:rsidRDefault="00704A14">
      <w:pPr>
        <w:rPr>
          <w:rFonts w:ascii="Times New Roman" w:hAnsi="Times New Roman" w:cs="Times New Roman"/>
          <w:bCs/>
          <w:sz w:val="24"/>
          <w:szCs w:val="24"/>
        </w:rPr>
      </w:pPr>
      <w:r>
        <w:rPr>
          <w:rFonts w:ascii="Times New Roman" w:hAnsi="Times New Roman" w:cs="Times New Roman"/>
          <w:bCs/>
          <w:sz w:val="24"/>
          <w:szCs w:val="24"/>
        </w:rPr>
        <w:br w:type="page"/>
      </w:r>
    </w:p>
    <w:p w14:paraId="0FA1F6C3" w14:textId="77777777" w:rsidR="004E056E" w:rsidRDefault="004E056E" w:rsidP="2CC57DB6">
      <w:pPr>
        <w:rPr>
          <w:rFonts w:ascii="Times New Roman" w:hAnsi="Times New Roman" w:cs="Times New Roman"/>
          <w:b/>
          <w:bCs/>
          <w:sz w:val="24"/>
          <w:szCs w:val="24"/>
        </w:rPr>
      </w:pPr>
      <w:r>
        <w:rPr>
          <w:rFonts w:ascii="Times New Roman" w:hAnsi="Times New Roman" w:cs="Times New Roman"/>
          <w:bCs/>
          <w:noProof/>
          <w:sz w:val="24"/>
          <w:szCs w:val="24"/>
        </w:rPr>
        <w:lastRenderedPageBreak/>
        <w:drawing>
          <wp:inline distT="0" distB="0" distL="0" distR="0" wp14:anchorId="2368A4E6" wp14:editId="008ACF12">
            <wp:extent cx="4752975" cy="3990975"/>
            <wp:effectExtent l="0" t="0" r="9525" b="9525"/>
            <wp:docPr id="1" name="Picture 1" descr="C:\Users\Sravisht\AppData\Local\Microsoft\Windows\INetCache\Content.Word\Fig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visht\AppData\Local\Microsoft\Windows\INetCache\Content.Word\Fig 1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3990975"/>
                    </a:xfrm>
                    <a:prstGeom prst="rect">
                      <a:avLst/>
                    </a:prstGeom>
                    <a:noFill/>
                    <a:ln>
                      <a:noFill/>
                    </a:ln>
                  </pic:spPr>
                </pic:pic>
              </a:graphicData>
            </a:graphic>
          </wp:inline>
        </w:drawing>
      </w:r>
    </w:p>
    <w:p w14:paraId="33117B3E" w14:textId="50F83286" w:rsidR="004E056E" w:rsidRDefault="00704A14" w:rsidP="2CC57DB6">
      <w:pPr>
        <w:rPr>
          <w:rFonts w:ascii="Times New Roman" w:hAnsi="Times New Roman" w:cs="Times New Roman"/>
          <w:bCs/>
          <w:sz w:val="24"/>
          <w:szCs w:val="24"/>
        </w:rPr>
      </w:pPr>
      <w:r>
        <w:rPr>
          <w:rFonts w:ascii="Times New Roman" w:hAnsi="Times New Roman" w:cs="Times New Roman"/>
          <w:b/>
          <w:bCs/>
          <w:sz w:val="24"/>
          <w:szCs w:val="24"/>
        </w:rPr>
        <w:t xml:space="preserve">Figure 1a. </w:t>
      </w:r>
      <w:r>
        <w:rPr>
          <w:rFonts w:ascii="Times New Roman" w:hAnsi="Times New Roman" w:cs="Times New Roman"/>
          <w:bCs/>
          <w:sz w:val="24"/>
          <w:szCs w:val="24"/>
        </w:rPr>
        <w:t>Ultraviolet spectrophotometry profile for simvastatin solution in ethanol at various concentrations.</w:t>
      </w:r>
    </w:p>
    <w:p w14:paraId="5CB70D0E" w14:textId="77777777" w:rsidR="004E056E" w:rsidRDefault="004E056E">
      <w:pPr>
        <w:rPr>
          <w:rFonts w:ascii="Times New Roman" w:hAnsi="Times New Roman" w:cs="Times New Roman"/>
          <w:bCs/>
          <w:sz w:val="24"/>
          <w:szCs w:val="24"/>
        </w:rPr>
      </w:pPr>
      <w:r>
        <w:rPr>
          <w:rFonts w:ascii="Times New Roman" w:hAnsi="Times New Roman" w:cs="Times New Roman"/>
          <w:bCs/>
          <w:sz w:val="24"/>
          <w:szCs w:val="24"/>
        </w:rPr>
        <w:br w:type="page"/>
      </w:r>
    </w:p>
    <w:p w14:paraId="69648967" w14:textId="77777777" w:rsidR="00E85344" w:rsidRDefault="00E85344" w:rsidP="2CC57DB6">
      <w:pPr>
        <w:rPr>
          <w:rFonts w:ascii="Times New Roman" w:hAnsi="Times New Roman" w:cs="Times New Roman"/>
          <w:bCs/>
          <w:sz w:val="24"/>
          <w:szCs w:val="24"/>
        </w:rPr>
      </w:pPr>
    </w:p>
    <w:p w14:paraId="12C72022" w14:textId="179D6C87" w:rsidR="00704A14" w:rsidRDefault="004E056E" w:rsidP="2CC57DB6">
      <w:pPr>
        <w:rPr>
          <w:rFonts w:ascii="Times New Roman" w:hAnsi="Times New Roman" w:cs="Times New Roman"/>
          <w:bCs/>
          <w:sz w:val="24"/>
          <w:szCs w:val="24"/>
        </w:rPr>
      </w:pPr>
      <w:r>
        <w:rPr>
          <w:rFonts w:ascii="Times New Roman" w:hAnsi="Times New Roman" w:cs="Times New Roman"/>
          <w:b/>
          <w:bCs/>
          <w:noProof/>
          <w:sz w:val="24"/>
          <w:szCs w:val="24"/>
        </w:rPr>
        <w:drawing>
          <wp:inline distT="0" distB="0" distL="0" distR="0" wp14:anchorId="0D593A2F" wp14:editId="5AAB5C79">
            <wp:extent cx="5943600" cy="3609975"/>
            <wp:effectExtent l="0" t="0" r="0" b="9525"/>
            <wp:docPr id="2" name="Picture 2" descr="C:\Users\Sravisht\AppData\Local\Microsoft\Windows\INetCache\Content.Word\Fig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visht\AppData\Local\Microsoft\Windows\INetCache\Content.Word\Fig 1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14:paraId="35675092" w14:textId="579FFCB6" w:rsidR="00704A14" w:rsidRDefault="00704A14" w:rsidP="2CC57DB6">
      <w:pPr>
        <w:rPr>
          <w:rFonts w:ascii="Times New Roman" w:hAnsi="Times New Roman" w:cs="Times New Roman"/>
          <w:bCs/>
          <w:sz w:val="24"/>
          <w:szCs w:val="24"/>
        </w:rPr>
      </w:pPr>
      <w:r>
        <w:rPr>
          <w:rFonts w:ascii="Times New Roman" w:hAnsi="Times New Roman" w:cs="Times New Roman"/>
          <w:b/>
          <w:bCs/>
          <w:sz w:val="24"/>
          <w:szCs w:val="24"/>
        </w:rPr>
        <w:t>Figure 1b.</w:t>
      </w:r>
      <w:r>
        <w:rPr>
          <w:rFonts w:ascii="Times New Roman" w:hAnsi="Times New Roman" w:cs="Times New Roman"/>
          <w:bCs/>
          <w:sz w:val="24"/>
          <w:szCs w:val="24"/>
        </w:rPr>
        <w:t xml:space="preserve"> Calibration curve showing a linear relationship between absorbance unit and simvastatin concentrations. This calibration curve was used to</w:t>
      </w:r>
      <w:r w:rsidR="0042670A">
        <w:rPr>
          <w:rFonts w:ascii="Times New Roman" w:hAnsi="Times New Roman" w:cs="Times New Roman"/>
          <w:bCs/>
          <w:sz w:val="24"/>
          <w:szCs w:val="24"/>
        </w:rPr>
        <w:t xml:space="preserve"> calculate drug release profile of simvastatin from the nanoparticles.</w:t>
      </w:r>
    </w:p>
    <w:p w14:paraId="2FAEBC71" w14:textId="757CABC6" w:rsidR="0042670A" w:rsidRDefault="0042670A" w:rsidP="2CC57DB6">
      <w:pPr>
        <w:rPr>
          <w:rFonts w:ascii="Times New Roman" w:hAnsi="Times New Roman" w:cs="Times New Roman"/>
          <w:bCs/>
          <w:sz w:val="24"/>
          <w:szCs w:val="24"/>
        </w:rPr>
      </w:pPr>
    </w:p>
    <w:p w14:paraId="4AD6B507" w14:textId="1B3920AC" w:rsidR="004E056E" w:rsidRDefault="004E056E" w:rsidP="2CC57DB6">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752A59B" wp14:editId="2F9250F9">
            <wp:extent cx="5934075" cy="1933575"/>
            <wp:effectExtent l="0" t="0" r="9525" b="9525"/>
            <wp:docPr id="3" name="Picture 3" descr="C:\Users\Sravisht\AppData\Local\Microsoft\Windows\INetCache\Content.Word\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avisht\AppData\Local\Microsoft\Windows\INetCache\Content.Word\Fig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14:paraId="143B7130" w14:textId="46B2CB4D" w:rsidR="0042670A" w:rsidRDefault="0042670A" w:rsidP="2CC57DB6">
      <w:pPr>
        <w:rPr>
          <w:rFonts w:ascii="Times New Roman" w:hAnsi="Times New Roman" w:cs="Times New Roman"/>
          <w:bCs/>
          <w:sz w:val="24"/>
          <w:szCs w:val="24"/>
        </w:rPr>
      </w:pPr>
      <w:r>
        <w:rPr>
          <w:rFonts w:ascii="Times New Roman" w:hAnsi="Times New Roman" w:cs="Times New Roman"/>
          <w:b/>
          <w:bCs/>
          <w:sz w:val="24"/>
          <w:szCs w:val="24"/>
        </w:rPr>
        <w:t xml:space="preserve">Figure 2. </w:t>
      </w:r>
      <w:r>
        <w:rPr>
          <w:rFonts w:ascii="Times New Roman" w:hAnsi="Times New Roman" w:cs="Times New Roman"/>
          <w:bCs/>
          <w:sz w:val="24"/>
          <w:szCs w:val="24"/>
        </w:rPr>
        <w:t xml:space="preserve">Scanning electron microscope of the simvastatin </w:t>
      </w:r>
      <w:proofErr w:type="spellStart"/>
      <w:r>
        <w:rPr>
          <w:rFonts w:ascii="Times New Roman" w:hAnsi="Times New Roman" w:cs="Times New Roman"/>
          <w:bCs/>
          <w:sz w:val="24"/>
          <w:szCs w:val="24"/>
        </w:rPr>
        <w:t>nano</w:t>
      </w:r>
      <w:proofErr w:type="spellEnd"/>
      <w:r>
        <w:rPr>
          <w:rFonts w:ascii="Times New Roman" w:hAnsi="Times New Roman" w:cs="Times New Roman"/>
          <w:bCs/>
          <w:sz w:val="24"/>
          <w:szCs w:val="24"/>
        </w:rPr>
        <w:t xml:space="preserve"> particles as well as the size distribution of the particles.</w:t>
      </w:r>
    </w:p>
    <w:p w14:paraId="075EE18E" w14:textId="77777777" w:rsidR="00075509" w:rsidRDefault="00075509" w:rsidP="2CC57DB6">
      <w:pPr>
        <w:rPr>
          <w:rFonts w:ascii="Times New Roman" w:hAnsi="Times New Roman" w:cs="Times New Roman"/>
          <w:b/>
          <w:bCs/>
          <w:sz w:val="24"/>
          <w:szCs w:val="24"/>
        </w:rPr>
      </w:pPr>
    </w:p>
    <w:p w14:paraId="1E6FF7F1" w14:textId="77777777" w:rsidR="004E056E" w:rsidRDefault="004E056E" w:rsidP="2CC57DB6">
      <w:pPr>
        <w:rPr>
          <w:rFonts w:ascii="Times New Roman" w:hAnsi="Times New Roman" w:cs="Times New Roman"/>
          <w:b/>
          <w:bCs/>
          <w:sz w:val="24"/>
          <w:szCs w:val="24"/>
        </w:rPr>
      </w:pPr>
    </w:p>
    <w:p w14:paraId="542E2595" w14:textId="183657FE" w:rsidR="0042670A" w:rsidRDefault="004E056E" w:rsidP="2CC57DB6">
      <w:pPr>
        <w:rPr>
          <w:rFonts w:ascii="Times New Roman" w:hAnsi="Times New Roman" w:cs="Times New Roman"/>
          <w:bCs/>
          <w:sz w:val="24"/>
          <w:szCs w:val="24"/>
        </w:rPr>
      </w:pPr>
      <w:r>
        <w:rPr>
          <w:rFonts w:ascii="Times New Roman" w:hAnsi="Times New Roman" w:cs="Times New Roman"/>
          <w:b/>
          <w:bCs/>
          <w:noProof/>
          <w:sz w:val="24"/>
          <w:szCs w:val="24"/>
        </w:rPr>
        <w:lastRenderedPageBreak/>
        <w:drawing>
          <wp:inline distT="0" distB="0" distL="0" distR="0" wp14:anchorId="42D7150C" wp14:editId="71F9D391">
            <wp:extent cx="5934075" cy="2505075"/>
            <wp:effectExtent l="0" t="0" r="9525" b="9525"/>
            <wp:docPr id="4" name="Picture 4" descr="C:\Users\Sravisht\AppData\Local\Microsoft\Windows\INetCache\Content.Word\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avisht\AppData\Local\Microsoft\Windows\INetCache\Content.Word\Fig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r w:rsidR="0042670A">
        <w:rPr>
          <w:rFonts w:ascii="Times New Roman" w:hAnsi="Times New Roman" w:cs="Times New Roman"/>
          <w:b/>
          <w:bCs/>
          <w:sz w:val="24"/>
          <w:szCs w:val="24"/>
        </w:rPr>
        <w:t>Figure 3.</w:t>
      </w:r>
      <w:r w:rsidR="0042670A">
        <w:rPr>
          <w:rFonts w:ascii="Times New Roman" w:hAnsi="Times New Roman" w:cs="Times New Roman"/>
          <w:bCs/>
          <w:sz w:val="24"/>
          <w:szCs w:val="24"/>
        </w:rPr>
        <w:t xml:space="preserve"> Simvastatin nanoparticles were suspended in PBS at varying concentration</w:t>
      </w:r>
      <w:r w:rsidR="00075509">
        <w:rPr>
          <w:rFonts w:ascii="Times New Roman" w:hAnsi="Times New Roman" w:cs="Times New Roman"/>
          <w:bCs/>
          <w:sz w:val="24"/>
          <w:szCs w:val="24"/>
        </w:rPr>
        <w:t xml:space="preserve">s (217μg/mL – 1667 </w:t>
      </w:r>
      <w:proofErr w:type="spellStart"/>
      <w:r w:rsidR="00075509">
        <w:rPr>
          <w:rFonts w:ascii="Times New Roman" w:hAnsi="Times New Roman" w:cs="Times New Roman"/>
          <w:bCs/>
          <w:sz w:val="24"/>
          <w:szCs w:val="24"/>
        </w:rPr>
        <w:t>μg</w:t>
      </w:r>
      <w:proofErr w:type="spellEnd"/>
      <w:r w:rsidR="00075509">
        <w:rPr>
          <w:rFonts w:ascii="Times New Roman" w:hAnsi="Times New Roman" w:cs="Times New Roman"/>
          <w:bCs/>
          <w:sz w:val="24"/>
          <w:szCs w:val="24"/>
        </w:rPr>
        <w:t>/mL)</w:t>
      </w:r>
      <w:r w:rsidR="0042670A">
        <w:rPr>
          <w:rFonts w:ascii="Times New Roman" w:hAnsi="Times New Roman" w:cs="Times New Roman"/>
          <w:bCs/>
          <w:sz w:val="24"/>
          <w:szCs w:val="24"/>
        </w:rPr>
        <w:t xml:space="preserve"> and release was measured at various time points over two weeks. Release efficiency averaged 74.2% over this time frame. </w:t>
      </w:r>
    </w:p>
    <w:p w14:paraId="64B88CEF" w14:textId="77DA578E" w:rsidR="00075509" w:rsidRDefault="00075509" w:rsidP="2CC57DB6">
      <w:pPr>
        <w:rPr>
          <w:rFonts w:ascii="Times New Roman" w:hAnsi="Times New Roman" w:cs="Times New Roman"/>
          <w:bCs/>
          <w:sz w:val="24"/>
          <w:szCs w:val="24"/>
        </w:rPr>
      </w:pPr>
    </w:p>
    <w:p w14:paraId="0E5DC9D7" w14:textId="689B52A5" w:rsidR="004E056E" w:rsidRPr="0042670A" w:rsidRDefault="004E056E" w:rsidP="2CC57DB6">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6DA3625" wp14:editId="3DE08000">
            <wp:extent cx="5934075" cy="2495550"/>
            <wp:effectExtent l="0" t="0" r="9525" b="0"/>
            <wp:docPr id="5" name="Picture 5" descr="C:\Users\Sravisht\AppData\Local\Microsoft\Windows\INetCache\Content.Word\Fig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avisht\AppData\Local\Microsoft\Windows\INetCache\Content.Word\Fig 4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14:paraId="497D0FA8" w14:textId="77777777" w:rsidR="00075509" w:rsidRDefault="00075509">
      <w:pPr>
        <w:rPr>
          <w:rFonts w:ascii="Times New Roman" w:hAnsi="Times New Roman" w:cs="Times New Roman"/>
          <w:bCs/>
          <w:sz w:val="24"/>
          <w:szCs w:val="24"/>
        </w:rPr>
      </w:pPr>
      <w:r>
        <w:rPr>
          <w:rFonts w:ascii="Times New Roman" w:hAnsi="Times New Roman" w:cs="Times New Roman"/>
          <w:b/>
          <w:bCs/>
          <w:sz w:val="24"/>
          <w:szCs w:val="24"/>
        </w:rPr>
        <w:t>Figure 4a</w:t>
      </w:r>
      <w:r>
        <w:rPr>
          <w:rFonts w:ascii="Times New Roman" w:hAnsi="Times New Roman" w:cs="Times New Roman"/>
          <w:bCs/>
          <w:sz w:val="24"/>
          <w:szCs w:val="24"/>
        </w:rPr>
        <w:t xml:space="preserve">. Alizarin red staining observed after 1 week of culture in the various conditions shown. Ctrl – COMP media, Min – Mineralizing media, SIM – simvastatin drug, </w:t>
      </w:r>
      <w:proofErr w:type="spellStart"/>
      <w:r>
        <w:rPr>
          <w:rFonts w:ascii="Times New Roman" w:hAnsi="Times New Roman" w:cs="Times New Roman"/>
          <w:bCs/>
          <w:sz w:val="24"/>
          <w:szCs w:val="24"/>
        </w:rPr>
        <w:t>SimNP</w:t>
      </w:r>
      <w:proofErr w:type="spellEnd"/>
      <w:r>
        <w:rPr>
          <w:rFonts w:ascii="Times New Roman" w:hAnsi="Times New Roman" w:cs="Times New Roman"/>
          <w:bCs/>
          <w:sz w:val="24"/>
          <w:szCs w:val="24"/>
        </w:rPr>
        <w:t xml:space="preserve"> – Simvastatin nanoparticle. </w:t>
      </w:r>
    </w:p>
    <w:p w14:paraId="57A1751A" w14:textId="29BE6B32" w:rsidR="00075509" w:rsidRDefault="00075509">
      <w:pPr>
        <w:rPr>
          <w:rFonts w:ascii="Times New Roman" w:hAnsi="Times New Roman" w:cs="Times New Roman"/>
          <w:bCs/>
          <w:sz w:val="24"/>
          <w:szCs w:val="24"/>
        </w:rPr>
      </w:pPr>
    </w:p>
    <w:p w14:paraId="09231C2F" w14:textId="08A83253" w:rsidR="004E056E" w:rsidRDefault="004E056E">
      <w:pP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74E86F69" wp14:editId="73A128D4">
            <wp:extent cx="5934075" cy="2667000"/>
            <wp:effectExtent l="0" t="0" r="9525" b="0"/>
            <wp:docPr id="6" name="Picture 6" descr="C:\Users\Sravisht\AppData\Local\Microsoft\Windows\INetCache\Content.Word\Fig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avisht\AppData\Local\Microsoft\Windows\INetCache\Content.Word\Fig 4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14:paraId="73072666" w14:textId="77777777" w:rsidR="00A7557E" w:rsidRDefault="00075509">
      <w:pPr>
        <w:rPr>
          <w:rFonts w:ascii="Times New Roman" w:hAnsi="Times New Roman" w:cs="Times New Roman"/>
          <w:bCs/>
          <w:sz w:val="24"/>
          <w:szCs w:val="24"/>
        </w:rPr>
      </w:pPr>
      <w:r>
        <w:rPr>
          <w:rFonts w:ascii="Times New Roman" w:hAnsi="Times New Roman" w:cs="Times New Roman"/>
          <w:b/>
          <w:bCs/>
          <w:sz w:val="24"/>
          <w:szCs w:val="24"/>
        </w:rPr>
        <w:t>Figure 4</w:t>
      </w:r>
      <w:r>
        <w:rPr>
          <w:rFonts w:ascii="Times New Roman" w:hAnsi="Times New Roman" w:cs="Times New Roman"/>
          <w:b/>
          <w:bCs/>
          <w:sz w:val="24"/>
          <w:szCs w:val="24"/>
        </w:rPr>
        <w:t>b</w:t>
      </w:r>
      <w:r>
        <w:rPr>
          <w:rFonts w:ascii="Times New Roman" w:hAnsi="Times New Roman" w:cs="Times New Roman"/>
          <w:bCs/>
          <w:sz w:val="24"/>
          <w:szCs w:val="24"/>
        </w:rPr>
        <w:t xml:space="preserve">. Alizarin red staining observed after </w:t>
      </w:r>
      <w:r>
        <w:rPr>
          <w:rFonts w:ascii="Times New Roman" w:hAnsi="Times New Roman" w:cs="Times New Roman"/>
          <w:bCs/>
          <w:sz w:val="24"/>
          <w:szCs w:val="24"/>
        </w:rPr>
        <w:t>3 weeks</w:t>
      </w:r>
      <w:r>
        <w:rPr>
          <w:rFonts w:ascii="Times New Roman" w:hAnsi="Times New Roman" w:cs="Times New Roman"/>
          <w:bCs/>
          <w:sz w:val="24"/>
          <w:szCs w:val="24"/>
        </w:rPr>
        <w:t xml:space="preserve"> of culture in the various conditions shown. Ctrl – COMP media, Min – Mineralizing media, SIM – simvastatin drug, </w:t>
      </w:r>
      <w:proofErr w:type="spellStart"/>
      <w:r>
        <w:rPr>
          <w:rFonts w:ascii="Times New Roman" w:hAnsi="Times New Roman" w:cs="Times New Roman"/>
          <w:bCs/>
          <w:sz w:val="24"/>
          <w:szCs w:val="24"/>
        </w:rPr>
        <w:t>SimNP</w:t>
      </w:r>
      <w:proofErr w:type="spellEnd"/>
      <w:r>
        <w:rPr>
          <w:rFonts w:ascii="Times New Roman" w:hAnsi="Times New Roman" w:cs="Times New Roman"/>
          <w:bCs/>
          <w:sz w:val="24"/>
          <w:szCs w:val="24"/>
        </w:rPr>
        <w:t xml:space="preserve"> – Simvastatin nanoparticle. </w:t>
      </w:r>
    </w:p>
    <w:p w14:paraId="1596B67D" w14:textId="379F3D72" w:rsidR="00A7557E" w:rsidRDefault="00A7557E">
      <w:pPr>
        <w:rPr>
          <w:rFonts w:ascii="Times New Roman" w:hAnsi="Times New Roman" w:cs="Times New Roman"/>
          <w:bCs/>
          <w:sz w:val="24"/>
          <w:szCs w:val="24"/>
        </w:rPr>
      </w:pPr>
    </w:p>
    <w:p w14:paraId="73050717" w14:textId="035AE692" w:rsidR="004E056E" w:rsidRDefault="004E056E">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5450527" wp14:editId="44C637E3">
            <wp:extent cx="5934075" cy="1743075"/>
            <wp:effectExtent l="0" t="0" r="9525" b="9525"/>
            <wp:docPr id="7" name="Picture 7" descr="C:\Users\Sravisht\AppData\Local\Microsoft\Windows\INetCache\Content.Word\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avisht\AppData\Local\Microsoft\Windows\INetCache\Content.Word\Fig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14:paraId="609E8FB0" w14:textId="77777777" w:rsidR="00DE2FEB" w:rsidRDefault="00A7557E">
      <w:pPr>
        <w:rPr>
          <w:rFonts w:ascii="Times New Roman" w:hAnsi="Times New Roman" w:cs="Times New Roman"/>
          <w:bCs/>
          <w:sz w:val="24"/>
          <w:szCs w:val="24"/>
        </w:rPr>
      </w:pPr>
      <w:r>
        <w:rPr>
          <w:rFonts w:ascii="Times New Roman" w:hAnsi="Times New Roman" w:cs="Times New Roman"/>
          <w:b/>
          <w:bCs/>
          <w:sz w:val="24"/>
          <w:szCs w:val="24"/>
        </w:rPr>
        <w:t xml:space="preserve">Figure 5. </w:t>
      </w:r>
      <w:proofErr w:type="spellStart"/>
      <w:r>
        <w:rPr>
          <w:rFonts w:ascii="Times New Roman" w:hAnsi="Times New Roman" w:cs="Times New Roman"/>
          <w:bCs/>
          <w:sz w:val="24"/>
          <w:szCs w:val="24"/>
        </w:rPr>
        <w:t>Osteopontin</w:t>
      </w:r>
      <w:proofErr w:type="spellEnd"/>
      <w:r>
        <w:rPr>
          <w:rFonts w:ascii="Times New Roman" w:hAnsi="Times New Roman" w:cs="Times New Roman"/>
          <w:bCs/>
          <w:sz w:val="24"/>
          <w:szCs w:val="24"/>
        </w:rPr>
        <w:t xml:space="preserve"> and Osteocalcin expression at 1 and 2 weeks after culture of MC3T3 cells in varying conditions. Although cells cultured with simvastatin showed increased expression of OPN and OCN, no clear dose-dependent response was observed. </w:t>
      </w:r>
      <w:r>
        <w:rPr>
          <w:rFonts w:ascii="Times New Roman" w:hAnsi="Times New Roman" w:cs="Times New Roman"/>
          <w:bCs/>
          <w:sz w:val="24"/>
          <w:szCs w:val="24"/>
        </w:rPr>
        <w:t xml:space="preserve">Ctrl – COMP media, Min – Mineralizing media, SIM – simvastatin drug, </w:t>
      </w:r>
      <w:proofErr w:type="spellStart"/>
      <w:r>
        <w:rPr>
          <w:rFonts w:ascii="Times New Roman" w:hAnsi="Times New Roman" w:cs="Times New Roman"/>
          <w:bCs/>
          <w:sz w:val="24"/>
          <w:szCs w:val="24"/>
        </w:rPr>
        <w:t>SimNP</w:t>
      </w:r>
      <w:proofErr w:type="spellEnd"/>
      <w:r>
        <w:rPr>
          <w:rFonts w:ascii="Times New Roman" w:hAnsi="Times New Roman" w:cs="Times New Roman"/>
          <w:bCs/>
          <w:sz w:val="24"/>
          <w:szCs w:val="24"/>
        </w:rPr>
        <w:t xml:space="preserve"> – Simvastatin nanoparticle. </w:t>
      </w:r>
    </w:p>
    <w:p w14:paraId="67E6207B" w14:textId="514C201E" w:rsidR="00DE2FEB" w:rsidRDefault="00DE2FEB">
      <w:pPr>
        <w:rPr>
          <w:rFonts w:ascii="Times New Roman" w:hAnsi="Times New Roman" w:cs="Times New Roman"/>
          <w:bCs/>
          <w:sz w:val="24"/>
          <w:szCs w:val="24"/>
        </w:rPr>
      </w:pPr>
    </w:p>
    <w:p w14:paraId="7078F7C3" w14:textId="72434ED0" w:rsidR="004E056E" w:rsidRDefault="004E056E">
      <w:pP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569C5F6" wp14:editId="0365C500">
            <wp:extent cx="5943600" cy="3400425"/>
            <wp:effectExtent l="0" t="0" r="0" b="9525"/>
            <wp:docPr id="8" name="Picture 8" descr="C:\Users\Sravisht\AppData\Local\Microsoft\Windows\INetCache\Content.Word\Fig 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avisht\AppData\Local\Microsoft\Windows\INetCache\Content.Word\Fig 6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60B16F19" w14:textId="77777777" w:rsidR="00D35240" w:rsidRDefault="00DE2FEB">
      <w:pPr>
        <w:rPr>
          <w:rFonts w:ascii="Times New Roman" w:hAnsi="Times New Roman" w:cs="Times New Roman"/>
          <w:bCs/>
          <w:sz w:val="24"/>
          <w:szCs w:val="24"/>
        </w:rPr>
      </w:pPr>
      <w:r>
        <w:rPr>
          <w:rFonts w:ascii="Times New Roman" w:hAnsi="Times New Roman" w:cs="Times New Roman"/>
          <w:b/>
          <w:bCs/>
          <w:sz w:val="24"/>
          <w:szCs w:val="24"/>
        </w:rPr>
        <w:t xml:space="preserve">Figure 6a. </w:t>
      </w:r>
      <w:r w:rsidR="00B929BC">
        <w:rPr>
          <w:rFonts w:ascii="Times New Roman" w:hAnsi="Times New Roman" w:cs="Times New Roman"/>
          <w:bCs/>
          <w:sz w:val="24"/>
          <w:szCs w:val="24"/>
        </w:rPr>
        <w:t>Mean XR scores of the three blinded observes following XR performed at 4 weeks and 9 weeks. The simvastatin nanoparticle (</w:t>
      </w:r>
      <w:proofErr w:type="spellStart"/>
      <w:r w:rsidR="00B929BC">
        <w:rPr>
          <w:rFonts w:ascii="Times New Roman" w:hAnsi="Times New Roman" w:cs="Times New Roman"/>
          <w:bCs/>
          <w:sz w:val="24"/>
          <w:szCs w:val="24"/>
        </w:rPr>
        <w:t>SimNP</w:t>
      </w:r>
      <w:proofErr w:type="spellEnd"/>
      <w:r w:rsidR="00B929BC">
        <w:rPr>
          <w:rFonts w:ascii="Times New Roman" w:hAnsi="Times New Roman" w:cs="Times New Roman"/>
          <w:bCs/>
          <w:sz w:val="24"/>
          <w:szCs w:val="24"/>
        </w:rPr>
        <w:t>) group had significantly higher scores than the control group (Bl</w:t>
      </w:r>
      <w:r w:rsidR="00D35240">
        <w:rPr>
          <w:rFonts w:ascii="Times New Roman" w:hAnsi="Times New Roman" w:cs="Times New Roman"/>
          <w:bCs/>
          <w:sz w:val="24"/>
          <w:szCs w:val="24"/>
        </w:rPr>
        <w:t>ank NP) at 4 weeks and 9 weeks.</w:t>
      </w:r>
    </w:p>
    <w:p w14:paraId="2327219B" w14:textId="1B337C26" w:rsidR="00D35240" w:rsidRDefault="00D35240">
      <w:pPr>
        <w:rPr>
          <w:rFonts w:ascii="Times New Roman" w:hAnsi="Times New Roman" w:cs="Times New Roman"/>
          <w:bCs/>
          <w:sz w:val="24"/>
          <w:szCs w:val="24"/>
        </w:rPr>
      </w:pPr>
    </w:p>
    <w:p w14:paraId="212E7794" w14:textId="15457CC5" w:rsidR="004E056E" w:rsidRDefault="004E056E">
      <w:pP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20996D7A" wp14:editId="145829BA">
            <wp:extent cx="4800600" cy="5657850"/>
            <wp:effectExtent l="0" t="0" r="0" b="0"/>
            <wp:docPr id="9" name="Picture 9" descr="C:\Users\Sravisht\AppData\Local\Microsoft\Windows\INetCache\Content.Word\Fig 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avisht\AppData\Local\Microsoft\Windows\INetCache\Content.Word\Fig 6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5657850"/>
                    </a:xfrm>
                    <a:prstGeom prst="rect">
                      <a:avLst/>
                    </a:prstGeom>
                    <a:noFill/>
                    <a:ln>
                      <a:noFill/>
                    </a:ln>
                  </pic:spPr>
                </pic:pic>
              </a:graphicData>
            </a:graphic>
          </wp:inline>
        </w:drawing>
      </w:r>
    </w:p>
    <w:p w14:paraId="5AEFCAF4" w14:textId="25D04DE3" w:rsidR="000A634B" w:rsidRDefault="00D35240">
      <w:pPr>
        <w:rPr>
          <w:rFonts w:ascii="Times New Roman" w:hAnsi="Times New Roman" w:cs="Times New Roman"/>
          <w:bCs/>
          <w:sz w:val="24"/>
          <w:szCs w:val="24"/>
        </w:rPr>
      </w:pPr>
      <w:r>
        <w:rPr>
          <w:rFonts w:ascii="Times New Roman" w:hAnsi="Times New Roman" w:cs="Times New Roman"/>
          <w:b/>
          <w:bCs/>
          <w:sz w:val="24"/>
          <w:szCs w:val="24"/>
        </w:rPr>
        <w:t xml:space="preserve">Figure 6b. </w:t>
      </w:r>
      <w:r>
        <w:rPr>
          <w:rFonts w:ascii="Times New Roman" w:hAnsi="Times New Roman" w:cs="Times New Roman"/>
          <w:bCs/>
          <w:sz w:val="24"/>
          <w:szCs w:val="24"/>
        </w:rPr>
        <w:t>Radiographs of a control (Blank NP) and simvastatin nanoparticle (</w:t>
      </w:r>
      <w:proofErr w:type="spellStart"/>
      <w:r>
        <w:rPr>
          <w:rFonts w:ascii="Times New Roman" w:hAnsi="Times New Roman" w:cs="Times New Roman"/>
          <w:bCs/>
          <w:sz w:val="24"/>
          <w:szCs w:val="24"/>
        </w:rPr>
        <w:t>SimNP</w:t>
      </w:r>
      <w:proofErr w:type="spellEnd"/>
      <w:r>
        <w:rPr>
          <w:rFonts w:ascii="Times New Roman" w:hAnsi="Times New Roman" w:cs="Times New Roman"/>
          <w:bCs/>
          <w:sz w:val="24"/>
          <w:szCs w:val="24"/>
        </w:rPr>
        <w:t xml:space="preserve">) animal showing no significant bone formation in the control group and significant bone formation in the </w:t>
      </w:r>
      <w:proofErr w:type="spellStart"/>
      <w:r>
        <w:rPr>
          <w:rFonts w:ascii="Times New Roman" w:hAnsi="Times New Roman" w:cs="Times New Roman"/>
          <w:bCs/>
          <w:sz w:val="24"/>
          <w:szCs w:val="24"/>
        </w:rPr>
        <w:t>SimNP</w:t>
      </w:r>
      <w:proofErr w:type="spellEnd"/>
      <w:r>
        <w:rPr>
          <w:rFonts w:ascii="Times New Roman" w:hAnsi="Times New Roman" w:cs="Times New Roman"/>
          <w:bCs/>
          <w:sz w:val="24"/>
          <w:szCs w:val="24"/>
        </w:rPr>
        <w:t xml:space="preserve"> formation. </w:t>
      </w:r>
    </w:p>
    <w:p w14:paraId="4348B968" w14:textId="57FDB09C" w:rsidR="004E056E" w:rsidRDefault="004E056E">
      <w:pPr>
        <w:rPr>
          <w:rFonts w:ascii="Times New Roman" w:hAnsi="Times New Roman" w:cs="Times New Roman"/>
          <w:bCs/>
          <w:sz w:val="24"/>
          <w:szCs w:val="24"/>
        </w:rPr>
      </w:pPr>
    </w:p>
    <w:p w14:paraId="3A6D24BE" w14:textId="3B1DE230" w:rsidR="004E056E" w:rsidRDefault="004E056E">
      <w:pP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1B0DF13D" wp14:editId="1FC3964A">
            <wp:extent cx="4381500" cy="5800725"/>
            <wp:effectExtent l="0" t="0" r="0" b="9525"/>
            <wp:docPr id="10" name="Picture 10" descr="C:\Users\Sravisht\AppData\Local\Microsoft\Windows\INetCache\Content.Word\Fig 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avisht\AppData\Local\Microsoft\Windows\INetCache\Content.Word\Fig 7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5800725"/>
                    </a:xfrm>
                    <a:prstGeom prst="rect">
                      <a:avLst/>
                    </a:prstGeom>
                    <a:noFill/>
                    <a:ln>
                      <a:noFill/>
                    </a:ln>
                  </pic:spPr>
                </pic:pic>
              </a:graphicData>
            </a:graphic>
          </wp:inline>
        </w:drawing>
      </w:r>
    </w:p>
    <w:p w14:paraId="047B2E59" w14:textId="28012359" w:rsidR="004E056E" w:rsidRDefault="004E056E">
      <w:pP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3576C0CC" wp14:editId="1C3D9F18">
            <wp:extent cx="5934075" cy="5829300"/>
            <wp:effectExtent l="0" t="0" r="9525" b="0"/>
            <wp:docPr id="11" name="Picture 11" descr="C:\Users\Sravisht\AppData\Local\Microsoft\Windows\INetCache\Content.Word\Fig 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ravisht\AppData\Local\Microsoft\Windows\INetCache\Content.Word\Fig 7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5829300"/>
                    </a:xfrm>
                    <a:prstGeom prst="rect">
                      <a:avLst/>
                    </a:prstGeom>
                    <a:noFill/>
                    <a:ln>
                      <a:noFill/>
                    </a:ln>
                  </pic:spPr>
                </pic:pic>
              </a:graphicData>
            </a:graphic>
          </wp:inline>
        </w:drawing>
      </w:r>
    </w:p>
    <w:p w14:paraId="4EB5C9FD" w14:textId="517C141D" w:rsidR="004E056E" w:rsidRDefault="004E056E">
      <w:pP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17D4BCA3" wp14:editId="43A95058">
            <wp:extent cx="5934075" cy="3114675"/>
            <wp:effectExtent l="0" t="0" r="9525" b="9525"/>
            <wp:docPr id="12" name="Picture 12" descr="C:\Users\Sravisht\AppData\Local\Microsoft\Windows\INetCache\Content.Word\Fig 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ravisht\AppData\Local\Microsoft\Windows\INetCache\Content.Word\Fig 7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14:paraId="58D2514D" w14:textId="77777777" w:rsidR="008D53C1" w:rsidRDefault="00460E55">
      <w:pPr>
        <w:rPr>
          <w:rFonts w:ascii="Times New Roman" w:hAnsi="Times New Roman" w:cs="Times New Roman"/>
          <w:bCs/>
          <w:sz w:val="24"/>
          <w:szCs w:val="24"/>
        </w:rPr>
      </w:pPr>
      <w:r>
        <w:rPr>
          <w:rFonts w:ascii="Times New Roman" w:hAnsi="Times New Roman" w:cs="Times New Roman"/>
          <w:b/>
          <w:bCs/>
          <w:sz w:val="24"/>
          <w:szCs w:val="24"/>
        </w:rPr>
        <w:t xml:space="preserve">Figure 7a-c. </w:t>
      </w:r>
      <w:r>
        <w:rPr>
          <w:rFonts w:ascii="Times New Roman" w:hAnsi="Times New Roman" w:cs="Times New Roman"/>
          <w:bCs/>
          <w:sz w:val="24"/>
          <w:szCs w:val="24"/>
        </w:rPr>
        <w:t xml:space="preserve">Representative </w:t>
      </w:r>
      <w:proofErr w:type="spellStart"/>
      <w:r>
        <w:rPr>
          <w:rFonts w:ascii="Times New Roman" w:hAnsi="Times New Roman" w:cs="Times New Roman"/>
          <w:bCs/>
          <w:sz w:val="24"/>
          <w:szCs w:val="24"/>
        </w:rPr>
        <w:t>μCT</w:t>
      </w:r>
      <w:proofErr w:type="spellEnd"/>
      <w:r>
        <w:rPr>
          <w:rFonts w:ascii="Times New Roman" w:hAnsi="Times New Roman" w:cs="Times New Roman"/>
          <w:bCs/>
          <w:sz w:val="24"/>
          <w:szCs w:val="24"/>
        </w:rPr>
        <w:t xml:space="preserve"> images from the control (blank NP, a), simvastatin drug (SIM, b) and simvastatin nanoparticle (</w:t>
      </w:r>
      <w:proofErr w:type="spellStart"/>
      <w:r>
        <w:rPr>
          <w:rFonts w:ascii="Times New Roman" w:hAnsi="Times New Roman" w:cs="Times New Roman"/>
          <w:bCs/>
          <w:sz w:val="24"/>
          <w:szCs w:val="24"/>
        </w:rPr>
        <w:t>SimNP</w:t>
      </w:r>
      <w:proofErr w:type="spellEnd"/>
      <w:r>
        <w:rPr>
          <w:rFonts w:ascii="Times New Roman" w:hAnsi="Times New Roman" w:cs="Times New Roman"/>
          <w:bCs/>
          <w:sz w:val="24"/>
          <w:szCs w:val="24"/>
        </w:rPr>
        <w:t>, c)</w:t>
      </w:r>
      <w:r w:rsidR="00B929BC">
        <w:rPr>
          <w:rFonts w:ascii="Times New Roman" w:hAnsi="Times New Roman" w:cs="Times New Roman"/>
          <w:bCs/>
          <w:sz w:val="24"/>
          <w:szCs w:val="24"/>
        </w:rPr>
        <w:t xml:space="preserve"> </w:t>
      </w:r>
      <w:r>
        <w:rPr>
          <w:rFonts w:ascii="Times New Roman" w:hAnsi="Times New Roman" w:cs="Times New Roman"/>
          <w:bCs/>
          <w:sz w:val="24"/>
          <w:szCs w:val="24"/>
        </w:rPr>
        <w:t xml:space="preserve">treated animals. Note the significant bone formation and mature fusion masses seen in the </w:t>
      </w:r>
      <w:proofErr w:type="spellStart"/>
      <w:r>
        <w:rPr>
          <w:rFonts w:ascii="Times New Roman" w:hAnsi="Times New Roman" w:cs="Times New Roman"/>
          <w:bCs/>
          <w:sz w:val="24"/>
          <w:szCs w:val="24"/>
        </w:rPr>
        <w:t>SimNP</w:t>
      </w:r>
      <w:proofErr w:type="spellEnd"/>
      <w:r>
        <w:rPr>
          <w:rFonts w:ascii="Times New Roman" w:hAnsi="Times New Roman" w:cs="Times New Roman"/>
          <w:bCs/>
          <w:sz w:val="24"/>
          <w:szCs w:val="24"/>
        </w:rPr>
        <w:t xml:space="preserve"> treated animals. </w:t>
      </w:r>
    </w:p>
    <w:p w14:paraId="0412E874" w14:textId="201C75B4" w:rsidR="008D53C1" w:rsidRDefault="008D53C1">
      <w:pPr>
        <w:rPr>
          <w:rFonts w:ascii="Times New Roman" w:hAnsi="Times New Roman" w:cs="Times New Roman"/>
          <w:bCs/>
          <w:sz w:val="24"/>
          <w:szCs w:val="24"/>
        </w:rPr>
      </w:pPr>
    </w:p>
    <w:tbl>
      <w:tblPr>
        <w:tblStyle w:val="TableGrid"/>
        <w:tblW w:w="5575" w:type="dxa"/>
        <w:tblLook w:val="0420" w:firstRow="1" w:lastRow="0" w:firstColumn="0" w:lastColumn="0" w:noHBand="0" w:noVBand="1"/>
      </w:tblPr>
      <w:tblGrid>
        <w:gridCol w:w="2440"/>
        <w:gridCol w:w="1515"/>
        <w:gridCol w:w="1620"/>
      </w:tblGrid>
      <w:tr w:rsidR="008F3B2D" w:rsidRPr="008F3B2D" w14:paraId="57A9976F" w14:textId="77777777" w:rsidTr="008F3B2D">
        <w:trPr>
          <w:trHeight w:val="305"/>
        </w:trPr>
        <w:tc>
          <w:tcPr>
            <w:tcW w:w="2440" w:type="dxa"/>
            <w:hideMark/>
          </w:tcPr>
          <w:p w14:paraId="71F65B69"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
                <w:bCs/>
                <w:sz w:val="24"/>
                <w:szCs w:val="24"/>
              </w:rPr>
              <w:t>Group</w:t>
            </w:r>
          </w:p>
        </w:tc>
        <w:tc>
          <w:tcPr>
            <w:tcW w:w="1515" w:type="dxa"/>
            <w:hideMark/>
          </w:tcPr>
          <w:p w14:paraId="131DC80E"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
                <w:bCs/>
                <w:sz w:val="24"/>
                <w:szCs w:val="24"/>
              </w:rPr>
              <w:t>Fusion Rate</w:t>
            </w:r>
          </w:p>
        </w:tc>
        <w:tc>
          <w:tcPr>
            <w:tcW w:w="1620" w:type="dxa"/>
            <w:hideMark/>
          </w:tcPr>
          <w:p w14:paraId="78906CC4"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
                <w:bCs/>
                <w:sz w:val="24"/>
                <w:szCs w:val="24"/>
              </w:rPr>
              <w:t>P-Val</w:t>
            </w:r>
          </w:p>
        </w:tc>
      </w:tr>
      <w:tr w:rsidR="008F3B2D" w:rsidRPr="008F3B2D" w14:paraId="779F1073" w14:textId="77777777" w:rsidTr="008F3B2D">
        <w:trPr>
          <w:trHeight w:val="422"/>
        </w:trPr>
        <w:tc>
          <w:tcPr>
            <w:tcW w:w="2440" w:type="dxa"/>
            <w:hideMark/>
          </w:tcPr>
          <w:p w14:paraId="20235D76" w14:textId="77777777" w:rsidR="008F3B2D" w:rsidRPr="008F3B2D" w:rsidRDefault="008F3B2D" w:rsidP="008F3B2D">
            <w:pPr>
              <w:spacing w:after="160" w:line="259" w:lineRule="auto"/>
              <w:rPr>
                <w:rFonts w:ascii="Times New Roman" w:hAnsi="Times New Roman" w:cs="Times New Roman"/>
                <w:bCs/>
                <w:sz w:val="24"/>
                <w:szCs w:val="24"/>
              </w:rPr>
            </w:pPr>
            <w:proofErr w:type="spellStart"/>
            <w:r w:rsidRPr="008F3B2D">
              <w:rPr>
                <w:rFonts w:ascii="Times New Roman" w:hAnsi="Times New Roman" w:cs="Times New Roman"/>
                <w:bCs/>
                <w:sz w:val="24"/>
                <w:szCs w:val="24"/>
              </w:rPr>
              <w:t>BlankNP</w:t>
            </w:r>
            <w:proofErr w:type="spellEnd"/>
          </w:p>
        </w:tc>
        <w:tc>
          <w:tcPr>
            <w:tcW w:w="1515" w:type="dxa"/>
            <w:hideMark/>
          </w:tcPr>
          <w:p w14:paraId="07C52D12"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Cs/>
                <w:sz w:val="24"/>
                <w:szCs w:val="24"/>
              </w:rPr>
              <w:t>0%</w:t>
            </w:r>
          </w:p>
        </w:tc>
        <w:tc>
          <w:tcPr>
            <w:tcW w:w="1620" w:type="dxa"/>
            <w:hideMark/>
          </w:tcPr>
          <w:p w14:paraId="325EBDAB"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Cs/>
                <w:sz w:val="24"/>
                <w:szCs w:val="24"/>
              </w:rPr>
              <w:t>-</w:t>
            </w:r>
          </w:p>
        </w:tc>
      </w:tr>
      <w:tr w:rsidR="008F3B2D" w:rsidRPr="008F3B2D" w14:paraId="43277148" w14:textId="77777777" w:rsidTr="008F3B2D">
        <w:trPr>
          <w:trHeight w:val="305"/>
        </w:trPr>
        <w:tc>
          <w:tcPr>
            <w:tcW w:w="2440" w:type="dxa"/>
            <w:hideMark/>
          </w:tcPr>
          <w:p w14:paraId="2C4708FC" w14:textId="77777777" w:rsidR="008F3B2D" w:rsidRPr="008F3B2D" w:rsidRDefault="008F3B2D" w:rsidP="008F3B2D">
            <w:pPr>
              <w:spacing w:after="160" w:line="259" w:lineRule="auto"/>
              <w:rPr>
                <w:rFonts w:ascii="Times New Roman" w:hAnsi="Times New Roman" w:cs="Times New Roman"/>
                <w:bCs/>
                <w:sz w:val="24"/>
                <w:szCs w:val="24"/>
              </w:rPr>
            </w:pPr>
            <w:proofErr w:type="spellStart"/>
            <w:r w:rsidRPr="008F3B2D">
              <w:rPr>
                <w:rFonts w:ascii="Times New Roman" w:hAnsi="Times New Roman" w:cs="Times New Roman"/>
                <w:bCs/>
                <w:sz w:val="24"/>
                <w:szCs w:val="24"/>
              </w:rPr>
              <w:t>SimNP</w:t>
            </w:r>
            <w:proofErr w:type="spellEnd"/>
          </w:p>
        </w:tc>
        <w:tc>
          <w:tcPr>
            <w:tcW w:w="1515" w:type="dxa"/>
            <w:hideMark/>
          </w:tcPr>
          <w:p w14:paraId="3C30731B"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Cs/>
                <w:sz w:val="24"/>
                <w:szCs w:val="24"/>
              </w:rPr>
              <w:t>42.9%</w:t>
            </w:r>
          </w:p>
        </w:tc>
        <w:tc>
          <w:tcPr>
            <w:tcW w:w="1620" w:type="dxa"/>
            <w:hideMark/>
          </w:tcPr>
          <w:p w14:paraId="29BC9832"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Cs/>
                <w:sz w:val="24"/>
                <w:szCs w:val="24"/>
              </w:rPr>
              <w:t>0.006</w:t>
            </w:r>
          </w:p>
        </w:tc>
      </w:tr>
      <w:tr w:rsidR="008F3B2D" w:rsidRPr="008F3B2D" w14:paraId="5998593A" w14:textId="77777777" w:rsidTr="008F3B2D">
        <w:trPr>
          <w:trHeight w:val="278"/>
        </w:trPr>
        <w:tc>
          <w:tcPr>
            <w:tcW w:w="2440" w:type="dxa"/>
            <w:hideMark/>
          </w:tcPr>
          <w:p w14:paraId="5B31BD0F" w14:textId="77777777" w:rsidR="008F3B2D" w:rsidRPr="008F3B2D" w:rsidRDefault="008F3B2D" w:rsidP="008F3B2D">
            <w:pPr>
              <w:spacing w:after="160" w:line="259" w:lineRule="auto"/>
              <w:rPr>
                <w:rFonts w:ascii="Times New Roman" w:hAnsi="Times New Roman" w:cs="Times New Roman"/>
                <w:bCs/>
                <w:sz w:val="24"/>
                <w:szCs w:val="24"/>
              </w:rPr>
            </w:pPr>
            <w:r w:rsidRPr="008F3B2D">
              <w:rPr>
                <w:rFonts w:ascii="Times New Roman" w:hAnsi="Times New Roman" w:cs="Times New Roman"/>
                <w:bCs/>
                <w:sz w:val="24"/>
                <w:szCs w:val="24"/>
              </w:rPr>
              <w:t>SIM Drug</w:t>
            </w:r>
          </w:p>
        </w:tc>
        <w:tc>
          <w:tcPr>
            <w:tcW w:w="1515" w:type="dxa"/>
            <w:hideMark/>
          </w:tcPr>
          <w:p w14:paraId="1E2EC37D"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Cs/>
                <w:sz w:val="24"/>
                <w:szCs w:val="24"/>
              </w:rPr>
              <w:t>22.2%</w:t>
            </w:r>
          </w:p>
        </w:tc>
        <w:tc>
          <w:tcPr>
            <w:tcW w:w="1620" w:type="dxa"/>
            <w:hideMark/>
          </w:tcPr>
          <w:p w14:paraId="030E607D" w14:textId="77777777" w:rsidR="008F3B2D" w:rsidRPr="008F3B2D" w:rsidRDefault="008F3B2D" w:rsidP="008F3B2D">
            <w:pPr>
              <w:spacing w:after="160" w:line="259" w:lineRule="auto"/>
              <w:jc w:val="center"/>
              <w:rPr>
                <w:rFonts w:ascii="Times New Roman" w:hAnsi="Times New Roman" w:cs="Times New Roman"/>
                <w:bCs/>
                <w:sz w:val="24"/>
                <w:szCs w:val="24"/>
              </w:rPr>
            </w:pPr>
            <w:r w:rsidRPr="008F3B2D">
              <w:rPr>
                <w:rFonts w:ascii="Times New Roman" w:hAnsi="Times New Roman" w:cs="Times New Roman"/>
                <w:bCs/>
                <w:sz w:val="24"/>
                <w:szCs w:val="24"/>
              </w:rPr>
              <w:t>0.065</w:t>
            </w:r>
          </w:p>
        </w:tc>
      </w:tr>
    </w:tbl>
    <w:p w14:paraId="7EDC33B5" w14:textId="77777777" w:rsidR="004E056E" w:rsidRDefault="004E056E">
      <w:pPr>
        <w:rPr>
          <w:rFonts w:ascii="Times New Roman" w:hAnsi="Times New Roman" w:cs="Times New Roman"/>
          <w:bCs/>
          <w:sz w:val="24"/>
          <w:szCs w:val="24"/>
        </w:rPr>
      </w:pPr>
    </w:p>
    <w:p w14:paraId="7994B139" w14:textId="63037FBA" w:rsidR="00E85344" w:rsidRDefault="008D53C1">
      <w:pPr>
        <w:rPr>
          <w:rFonts w:ascii="Times New Roman" w:hAnsi="Times New Roman" w:cs="Times New Roman"/>
          <w:bCs/>
          <w:sz w:val="24"/>
          <w:szCs w:val="24"/>
        </w:rPr>
      </w:pPr>
      <w:r>
        <w:rPr>
          <w:rFonts w:ascii="Times New Roman" w:hAnsi="Times New Roman" w:cs="Times New Roman"/>
          <w:b/>
          <w:bCs/>
          <w:sz w:val="24"/>
          <w:szCs w:val="24"/>
        </w:rPr>
        <w:t xml:space="preserve">Table 1. </w:t>
      </w:r>
      <w:r>
        <w:rPr>
          <w:rFonts w:ascii="Times New Roman" w:hAnsi="Times New Roman" w:cs="Times New Roman"/>
          <w:bCs/>
          <w:sz w:val="24"/>
          <w:szCs w:val="24"/>
        </w:rPr>
        <w:t>Simvastatin nanoparticle (</w:t>
      </w:r>
      <w:proofErr w:type="spellStart"/>
      <w:r>
        <w:rPr>
          <w:rFonts w:ascii="Times New Roman" w:hAnsi="Times New Roman" w:cs="Times New Roman"/>
          <w:bCs/>
          <w:sz w:val="24"/>
          <w:szCs w:val="24"/>
        </w:rPr>
        <w:t>SimNP</w:t>
      </w:r>
      <w:proofErr w:type="spellEnd"/>
      <w:r>
        <w:rPr>
          <w:rFonts w:ascii="Times New Roman" w:hAnsi="Times New Roman" w:cs="Times New Roman"/>
          <w:bCs/>
          <w:sz w:val="24"/>
          <w:szCs w:val="24"/>
        </w:rPr>
        <w:t xml:space="preserve">) treated nanoparticles were significantly more likely to achieve fusion at 9 weeks when assessed by blinded observers. </w:t>
      </w:r>
      <w:r w:rsidR="00E85344">
        <w:rPr>
          <w:rFonts w:ascii="Times New Roman" w:hAnsi="Times New Roman" w:cs="Times New Roman"/>
          <w:bCs/>
          <w:sz w:val="24"/>
          <w:szCs w:val="24"/>
        </w:rPr>
        <w:br w:type="page"/>
      </w:r>
    </w:p>
    <w:p w14:paraId="78229F05" w14:textId="143A05A8" w:rsidR="00076293" w:rsidRDefault="00E85344" w:rsidP="2CC57DB6">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REFERENCES</w:t>
      </w:r>
    </w:p>
    <w:p w14:paraId="1F753587" w14:textId="76923E3A"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Mendeley Bibliography CSL_BIBLIOGRAPHY </w:instrText>
      </w:r>
      <w:r>
        <w:rPr>
          <w:rFonts w:ascii="Times New Roman" w:hAnsi="Times New Roman" w:cs="Times New Roman"/>
          <w:bCs/>
          <w:sz w:val="24"/>
          <w:szCs w:val="24"/>
        </w:rPr>
        <w:fldChar w:fldCharType="separate"/>
      </w:r>
      <w:r w:rsidRPr="00302F26">
        <w:rPr>
          <w:rFonts w:ascii="Times New Roman" w:hAnsi="Times New Roman" w:cs="Times New Roman"/>
          <w:noProof/>
          <w:sz w:val="24"/>
          <w:szCs w:val="24"/>
        </w:rPr>
        <w:t xml:space="preserve">1. </w:t>
      </w:r>
      <w:r w:rsidRPr="00302F26">
        <w:rPr>
          <w:rFonts w:ascii="Times New Roman" w:hAnsi="Times New Roman" w:cs="Times New Roman"/>
          <w:noProof/>
          <w:sz w:val="24"/>
          <w:szCs w:val="24"/>
        </w:rPr>
        <w:tab/>
        <w:t xml:space="preserve">Kornblum MB, Fischgrund JS, Herkowitz HN, Abraham DA, Berkower DL, Ditkoff JS. Degenerative lumbar spondylolisthesis with spinal stenosis: a prospective long-term study comparing fusion and pseudarthrosis. </w:t>
      </w:r>
      <w:r w:rsidRPr="00302F26">
        <w:rPr>
          <w:rFonts w:ascii="Times New Roman" w:hAnsi="Times New Roman" w:cs="Times New Roman"/>
          <w:i/>
          <w:iCs/>
          <w:noProof/>
          <w:sz w:val="24"/>
          <w:szCs w:val="24"/>
        </w:rPr>
        <w:t>Spine (Phila Pa 1976)</w:t>
      </w:r>
      <w:r w:rsidRPr="00302F26">
        <w:rPr>
          <w:rFonts w:ascii="Times New Roman" w:hAnsi="Times New Roman" w:cs="Times New Roman"/>
          <w:noProof/>
          <w:sz w:val="24"/>
          <w:szCs w:val="24"/>
        </w:rPr>
        <w:t>. 2004;29(7):4. doi:00007632-200404010-00004 [pii].</w:t>
      </w:r>
    </w:p>
    <w:p w14:paraId="6E93410D"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 </w:t>
      </w:r>
      <w:r w:rsidRPr="00302F26">
        <w:rPr>
          <w:rFonts w:ascii="Times New Roman" w:hAnsi="Times New Roman" w:cs="Times New Roman"/>
          <w:noProof/>
          <w:sz w:val="24"/>
          <w:szCs w:val="24"/>
        </w:rPr>
        <w:tab/>
        <w:t xml:space="preserve">Fischer CR, Ducoffe AR, Errico TJ. Posterior Lumbar Fusion: Choice of Approach and Adjunct Techniques. </w:t>
      </w:r>
      <w:r w:rsidRPr="00302F26">
        <w:rPr>
          <w:rFonts w:ascii="Times New Roman" w:hAnsi="Times New Roman" w:cs="Times New Roman"/>
          <w:i/>
          <w:iCs/>
          <w:noProof/>
          <w:sz w:val="24"/>
          <w:szCs w:val="24"/>
        </w:rPr>
        <w:t>J Am Acad Orthop Surg</w:t>
      </w:r>
      <w:r w:rsidRPr="00302F26">
        <w:rPr>
          <w:rFonts w:ascii="Times New Roman" w:hAnsi="Times New Roman" w:cs="Times New Roman"/>
          <w:noProof/>
          <w:sz w:val="24"/>
          <w:szCs w:val="24"/>
        </w:rPr>
        <w:t>. 2014;22(8):503-511. doi:22/8/503 [pii].</w:t>
      </w:r>
    </w:p>
    <w:p w14:paraId="223374BA"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 </w:t>
      </w:r>
      <w:r w:rsidRPr="00302F26">
        <w:rPr>
          <w:rFonts w:ascii="Times New Roman" w:hAnsi="Times New Roman" w:cs="Times New Roman"/>
          <w:noProof/>
          <w:sz w:val="24"/>
          <w:szCs w:val="24"/>
        </w:rPr>
        <w:tab/>
        <w:t xml:space="preserve">Jr JAC, Dimick JB, Wainess R, Jr GRU, Chandler WF, Marca F La. Changes in the utilization of spinal fusion in the United States. </w:t>
      </w:r>
      <w:r w:rsidRPr="00302F26">
        <w:rPr>
          <w:rFonts w:ascii="Times New Roman" w:hAnsi="Times New Roman" w:cs="Times New Roman"/>
          <w:i/>
          <w:iCs/>
          <w:noProof/>
          <w:sz w:val="24"/>
          <w:szCs w:val="24"/>
        </w:rPr>
        <w:t>Neurosurgery</w:t>
      </w:r>
      <w:r w:rsidRPr="00302F26">
        <w:rPr>
          <w:rFonts w:ascii="Times New Roman" w:hAnsi="Times New Roman" w:cs="Times New Roman"/>
          <w:noProof/>
          <w:sz w:val="24"/>
          <w:szCs w:val="24"/>
        </w:rPr>
        <w:t>. 2006;59(1):20. doi:10.1227/01.NEU.0000219836.54861.CD [doi].</w:t>
      </w:r>
    </w:p>
    <w:p w14:paraId="2B11D7B7"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4. </w:t>
      </w:r>
      <w:r w:rsidRPr="00302F26">
        <w:rPr>
          <w:rFonts w:ascii="Times New Roman" w:hAnsi="Times New Roman" w:cs="Times New Roman"/>
          <w:noProof/>
          <w:sz w:val="24"/>
          <w:szCs w:val="24"/>
        </w:rPr>
        <w:tab/>
        <w:t xml:space="preserve">Grabowski G, Cornett CA. Bone graft and bone graft substitutes in spine surgery: current concepts and controversies. </w:t>
      </w:r>
      <w:r w:rsidRPr="00302F26">
        <w:rPr>
          <w:rFonts w:ascii="Times New Roman" w:hAnsi="Times New Roman" w:cs="Times New Roman"/>
          <w:i/>
          <w:iCs/>
          <w:noProof/>
          <w:sz w:val="24"/>
          <w:szCs w:val="24"/>
        </w:rPr>
        <w:t>J Am Acad Orthop Surg</w:t>
      </w:r>
      <w:r w:rsidRPr="00302F26">
        <w:rPr>
          <w:rFonts w:ascii="Times New Roman" w:hAnsi="Times New Roman" w:cs="Times New Roman"/>
          <w:noProof/>
          <w:sz w:val="24"/>
          <w:szCs w:val="24"/>
        </w:rPr>
        <w:t>. 2013;21(1):51-60. doi:10.5435/JAAOS-21-01-51.</w:t>
      </w:r>
    </w:p>
    <w:p w14:paraId="668D60A5"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5. </w:t>
      </w:r>
      <w:r w:rsidRPr="00302F26">
        <w:rPr>
          <w:rFonts w:ascii="Times New Roman" w:hAnsi="Times New Roman" w:cs="Times New Roman"/>
          <w:noProof/>
          <w:sz w:val="24"/>
          <w:szCs w:val="24"/>
        </w:rPr>
        <w:tab/>
        <w:t xml:space="preserve">Buser Z, Brodke DS, Youssef JA, et al. Synthetic bone graft versus autograft or allograft for spinal fusion: a systematic review. </w:t>
      </w:r>
      <w:r w:rsidRPr="00302F26">
        <w:rPr>
          <w:rFonts w:ascii="Times New Roman" w:hAnsi="Times New Roman" w:cs="Times New Roman"/>
          <w:i/>
          <w:iCs/>
          <w:noProof/>
          <w:sz w:val="24"/>
          <w:szCs w:val="24"/>
        </w:rPr>
        <w:t>J Neurosurg Spine</w:t>
      </w:r>
      <w:r w:rsidRPr="00302F26">
        <w:rPr>
          <w:rFonts w:ascii="Times New Roman" w:hAnsi="Times New Roman" w:cs="Times New Roman"/>
          <w:noProof/>
          <w:sz w:val="24"/>
          <w:szCs w:val="24"/>
        </w:rPr>
        <w:t>. 2016;25(4):509-516. doi:10.3171/2016.1.SPINE151005.</w:t>
      </w:r>
    </w:p>
    <w:p w14:paraId="58C179A0"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6. </w:t>
      </w:r>
      <w:r w:rsidRPr="00302F26">
        <w:rPr>
          <w:rFonts w:ascii="Times New Roman" w:hAnsi="Times New Roman" w:cs="Times New Roman"/>
          <w:noProof/>
          <w:sz w:val="24"/>
          <w:szCs w:val="24"/>
        </w:rPr>
        <w:tab/>
        <w:t xml:space="preserve">Kaiser MG, Groff MW, Watters WC, et al. Guideline update for the performance of fusion procedures for degenerative disease of the lumbar spine. Part 16: bone graft extenders and substitutes as an adjunct for lumbar fusion. </w:t>
      </w:r>
      <w:r w:rsidRPr="00302F26">
        <w:rPr>
          <w:rFonts w:ascii="Times New Roman" w:hAnsi="Times New Roman" w:cs="Times New Roman"/>
          <w:i/>
          <w:iCs/>
          <w:noProof/>
          <w:sz w:val="24"/>
          <w:szCs w:val="24"/>
        </w:rPr>
        <w:t>J Neurosurg Spine</w:t>
      </w:r>
      <w:r w:rsidRPr="00302F26">
        <w:rPr>
          <w:rFonts w:ascii="Times New Roman" w:hAnsi="Times New Roman" w:cs="Times New Roman"/>
          <w:noProof/>
          <w:sz w:val="24"/>
          <w:szCs w:val="24"/>
        </w:rPr>
        <w:t>. 2014;21(1):106-132. doi:10.3171/2014.4.SPINE14325.</w:t>
      </w:r>
    </w:p>
    <w:p w14:paraId="1163C73E"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7. </w:t>
      </w:r>
      <w:r w:rsidRPr="00302F26">
        <w:rPr>
          <w:rFonts w:ascii="Times New Roman" w:hAnsi="Times New Roman" w:cs="Times New Roman"/>
          <w:noProof/>
          <w:sz w:val="24"/>
          <w:szCs w:val="24"/>
        </w:rPr>
        <w:tab/>
        <w:t xml:space="preserve">2nd JRD, Glassman SD, Burkus JK, Pryor PW, Hardacker JW, Carreon LY. Two-year fusion and clinical outcomes in 224 patients treated with a single-level instrumented posterolateral fusion with iliac crest bone graft. </w:t>
      </w:r>
      <w:r w:rsidRPr="00302F26">
        <w:rPr>
          <w:rFonts w:ascii="Times New Roman" w:hAnsi="Times New Roman" w:cs="Times New Roman"/>
          <w:i/>
          <w:iCs/>
          <w:noProof/>
          <w:sz w:val="24"/>
          <w:szCs w:val="24"/>
        </w:rPr>
        <w:t>Spine J</w:t>
      </w:r>
      <w:r w:rsidRPr="00302F26">
        <w:rPr>
          <w:rFonts w:ascii="Times New Roman" w:hAnsi="Times New Roman" w:cs="Times New Roman"/>
          <w:noProof/>
          <w:sz w:val="24"/>
          <w:szCs w:val="24"/>
        </w:rPr>
        <w:t>. 2009;9(11):880-885. doi:10.1016/j.spinee.2009.03.013 [doi].</w:t>
      </w:r>
    </w:p>
    <w:p w14:paraId="3BDF6061"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8. </w:t>
      </w:r>
      <w:r w:rsidRPr="00302F26">
        <w:rPr>
          <w:rFonts w:ascii="Times New Roman" w:hAnsi="Times New Roman" w:cs="Times New Roman"/>
          <w:noProof/>
          <w:sz w:val="24"/>
          <w:szCs w:val="24"/>
        </w:rPr>
        <w:tab/>
        <w:t xml:space="preserve">Delawi D, Jacobs W, van Susante JLC, et al. OP-1 Compared with Iliac Crest Autograft in Instrumented Posterolateral Fusion: A Randomized, Multicenter Non-Inferiority Trial. </w:t>
      </w:r>
      <w:r w:rsidRPr="00302F26">
        <w:rPr>
          <w:rFonts w:ascii="Times New Roman" w:hAnsi="Times New Roman" w:cs="Times New Roman"/>
          <w:i/>
          <w:iCs/>
          <w:noProof/>
          <w:sz w:val="24"/>
          <w:szCs w:val="24"/>
        </w:rPr>
        <w:t>J Bone Joint Surg Am</w:t>
      </w:r>
      <w:r w:rsidRPr="00302F26">
        <w:rPr>
          <w:rFonts w:ascii="Times New Roman" w:hAnsi="Times New Roman" w:cs="Times New Roman"/>
          <w:noProof/>
          <w:sz w:val="24"/>
          <w:szCs w:val="24"/>
        </w:rPr>
        <w:t>. 2016;98(6):441-448. doi:10.2106/JBJS.O.00209.</w:t>
      </w:r>
    </w:p>
    <w:p w14:paraId="03812E54"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9. </w:t>
      </w:r>
      <w:r w:rsidRPr="00302F26">
        <w:rPr>
          <w:rFonts w:ascii="Times New Roman" w:hAnsi="Times New Roman" w:cs="Times New Roman"/>
          <w:noProof/>
          <w:sz w:val="24"/>
          <w:szCs w:val="24"/>
        </w:rPr>
        <w:tab/>
        <w:t xml:space="preserve">Glassman SD, Carreon LY, Campbell MJ, et al. The perioperative cost of Infuse bone graft in posterolateral lumbar spine fusion. </w:t>
      </w:r>
      <w:r w:rsidRPr="00302F26">
        <w:rPr>
          <w:rFonts w:ascii="Times New Roman" w:hAnsi="Times New Roman" w:cs="Times New Roman"/>
          <w:i/>
          <w:iCs/>
          <w:noProof/>
          <w:sz w:val="24"/>
          <w:szCs w:val="24"/>
        </w:rPr>
        <w:t>Spine J</w:t>
      </w:r>
      <w:r w:rsidRPr="00302F26">
        <w:rPr>
          <w:rFonts w:ascii="Times New Roman" w:hAnsi="Times New Roman" w:cs="Times New Roman"/>
          <w:noProof/>
          <w:sz w:val="24"/>
          <w:szCs w:val="24"/>
        </w:rPr>
        <w:t>. 8(3):443-448. doi:10.1016/j.spinee.2007.03.004.</w:t>
      </w:r>
    </w:p>
    <w:p w14:paraId="0DDAEBC4"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10. </w:t>
      </w:r>
      <w:r w:rsidRPr="00302F26">
        <w:rPr>
          <w:rFonts w:ascii="Times New Roman" w:hAnsi="Times New Roman" w:cs="Times New Roman"/>
          <w:noProof/>
          <w:sz w:val="24"/>
          <w:szCs w:val="24"/>
        </w:rPr>
        <w:tab/>
        <w:t xml:space="preserve">Hsu WK, Hashimoto RE, Berven SH, Nassr A. Biological substitutes/extenders for spinal arthrodesis: which agents are cost-effective? </w:t>
      </w:r>
      <w:r w:rsidRPr="00302F26">
        <w:rPr>
          <w:rFonts w:ascii="Times New Roman" w:hAnsi="Times New Roman" w:cs="Times New Roman"/>
          <w:i/>
          <w:iCs/>
          <w:noProof/>
          <w:sz w:val="24"/>
          <w:szCs w:val="24"/>
        </w:rPr>
        <w:t>Spine (Phila Pa 1976)</w:t>
      </w:r>
      <w:r w:rsidRPr="00302F26">
        <w:rPr>
          <w:rFonts w:ascii="Times New Roman" w:hAnsi="Times New Roman" w:cs="Times New Roman"/>
          <w:noProof/>
          <w:sz w:val="24"/>
          <w:szCs w:val="24"/>
        </w:rPr>
        <w:t>. 2014;39(22 Suppl 1):S86-98. doi:10.1097/BRS.0000000000000548.</w:t>
      </w:r>
    </w:p>
    <w:p w14:paraId="229367DE"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11. </w:t>
      </w:r>
      <w:r w:rsidRPr="00302F26">
        <w:rPr>
          <w:rFonts w:ascii="Times New Roman" w:hAnsi="Times New Roman" w:cs="Times New Roman"/>
          <w:noProof/>
          <w:sz w:val="24"/>
          <w:szCs w:val="24"/>
        </w:rPr>
        <w:tab/>
        <w:t xml:space="preserve">Tannoury CA, An HS. Complications with the use of bone morphogenetic protein 2 (BMP-2) in spine surgery. </w:t>
      </w:r>
      <w:r w:rsidRPr="00302F26">
        <w:rPr>
          <w:rFonts w:ascii="Times New Roman" w:hAnsi="Times New Roman" w:cs="Times New Roman"/>
          <w:i/>
          <w:iCs/>
          <w:noProof/>
          <w:sz w:val="24"/>
          <w:szCs w:val="24"/>
        </w:rPr>
        <w:t>Spine J</w:t>
      </w:r>
      <w:r w:rsidRPr="00302F26">
        <w:rPr>
          <w:rFonts w:ascii="Times New Roman" w:hAnsi="Times New Roman" w:cs="Times New Roman"/>
          <w:noProof/>
          <w:sz w:val="24"/>
          <w:szCs w:val="24"/>
        </w:rPr>
        <w:t>. 2014;14(3):552-559. doi:10.1016/j.spinee.2013.08.060 [doi].</w:t>
      </w:r>
    </w:p>
    <w:p w14:paraId="0C0462D4"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12. </w:t>
      </w:r>
      <w:r w:rsidRPr="00302F26">
        <w:rPr>
          <w:rFonts w:ascii="Times New Roman" w:hAnsi="Times New Roman" w:cs="Times New Roman"/>
          <w:noProof/>
          <w:sz w:val="24"/>
          <w:szCs w:val="24"/>
        </w:rPr>
        <w:tab/>
        <w:t xml:space="preserve">Carragee EJ, Mitsunaga KA, Hurwitz EL, Scuderi GJ. Retrograde ejaculation after anterior lumbar interbody fusion using rhBMP-2: a cohort controlled study. </w:t>
      </w:r>
      <w:r w:rsidRPr="00302F26">
        <w:rPr>
          <w:rFonts w:ascii="Times New Roman" w:hAnsi="Times New Roman" w:cs="Times New Roman"/>
          <w:i/>
          <w:iCs/>
          <w:noProof/>
          <w:sz w:val="24"/>
          <w:szCs w:val="24"/>
        </w:rPr>
        <w:t>Spine J</w:t>
      </w:r>
      <w:r w:rsidRPr="00302F26">
        <w:rPr>
          <w:rFonts w:ascii="Times New Roman" w:hAnsi="Times New Roman" w:cs="Times New Roman"/>
          <w:noProof/>
          <w:sz w:val="24"/>
          <w:szCs w:val="24"/>
        </w:rPr>
        <w:t>. 2011;11(6):511-516. doi:10.1016/j.spinee.2011.02.013 [doi].</w:t>
      </w:r>
    </w:p>
    <w:p w14:paraId="1F5014D1"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lastRenderedPageBreak/>
        <w:t xml:space="preserve">13. </w:t>
      </w:r>
      <w:r w:rsidRPr="00302F26">
        <w:rPr>
          <w:rFonts w:ascii="Times New Roman" w:hAnsi="Times New Roman" w:cs="Times New Roman"/>
          <w:noProof/>
          <w:sz w:val="24"/>
          <w:szCs w:val="24"/>
        </w:rPr>
        <w:tab/>
        <w:t xml:space="preserve">Fu R, Selph S, McDonagh M, et al. Effectiveness and harms of recombinant human bone morphogenetic protein-2 in spine fusion: a systematic review and meta-analysis. </w:t>
      </w:r>
      <w:r w:rsidRPr="00302F26">
        <w:rPr>
          <w:rFonts w:ascii="Times New Roman" w:hAnsi="Times New Roman" w:cs="Times New Roman"/>
          <w:i/>
          <w:iCs/>
          <w:noProof/>
          <w:sz w:val="24"/>
          <w:szCs w:val="24"/>
        </w:rPr>
        <w:t>Ann Intern Med</w:t>
      </w:r>
      <w:r w:rsidRPr="00302F26">
        <w:rPr>
          <w:rFonts w:ascii="Times New Roman" w:hAnsi="Times New Roman" w:cs="Times New Roman"/>
          <w:noProof/>
          <w:sz w:val="24"/>
          <w:szCs w:val="24"/>
        </w:rPr>
        <w:t>. 2013;158(12):890-902. doi:10.7326/0003-4819-158-12-201306180-00006 [doi].</w:t>
      </w:r>
    </w:p>
    <w:p w14:paraId="5E3B596F"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14. </w:t>
      </w:r>
      <w:r w:rsidRPr="00302F26">
        <w:rPr>
          <w:rFonts w:ascii="Times New Roman" w:hAnsi="Times New Roman" w:cs="Times New Roman"/>
          <w:noProof/>
          <w:sz w:val="24"/>
          <w:szCs w:val="24"/>
        </w:rPr>
        <w:tab/>
        <w:t xml:space="preserve">Cahill KS, Chi JH, Day A, Claus EB. Prevalence, complications, and hospital charges associated with use of bone-morphogenetic proteins in spinal fusion procedures. </w:t>
      </w:r>
      <w:r w:rsidRPr="00302F26">
        <w:rPr>
          <w:rFonts w:ascii="Times New Roman" w:hAnsi="Times New Roman" w:cs="Times New Roman"/>
          <w:i/>
          <w:iCs/>
          <w:noProof/>
          <w:sz w:val="24"/>
          <w:szCs w:val="24"/>
        </w:rPr>
        <w:t>JAMA</w:t>
      </w:r>
      <w:r w:rsidRPr="00302F26">
        <w:rPr>
          <w:rFonts w:ascii="Times New Roman" w:hAnsi="Times New Roman" w:cs="Times New Roman"/>
          <w:noProof/>
          <w:sz w:val="24"/>
          <w:szCs w:val="24"/>
        </w:rPr>
        <w:t>. 2009;302(1):58-66. doi:10.1001/jama.2009.956 [doi].</w:t>
      </w:r>
    </w:p>
    <w:p w14:paraId="25E2EA6A"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15. </w:t>
      </w:r>
      <w:r w:rsidRPr="00302F26">
        <w:rPr>
          <w:rFonts w:ascii="Times New Roman" w:hAnsi="Times New Roman" w:cs="Times New Roman"/>
          <w:noProof/>
          <w:sz w:val="24"/>
          <w:szCs w:val="24"/>
        </w:rPr>
        <w:tab/>
        <w:t xml:space="preserve">Simmonds MC, Brown J V, Heirs MK, et al. Safety and effectiveness of recombinant human bone morphogenetic protein-2 for spinal fusion: a meta-analysis of individual-participant data. </w:t>
      </w:r>
      <w:r w:rsidRPr="00302F26">
        <w:rPr>
          <w:rFonts w:ascii="Times New Roman" w:hAnsi="Times New Roman" w:cs="Times New Roman"/>
          <w:i/>
          <w:iCs/>
          <w:noProof/>
          <w:sz w:val="24"/>
          <w:szCs w:val="24"/>
        </w:rPr>
        <w:t>Ann Intern Med</w:t>
      </w:r>
      <w:r w:rsidRPr="00302F26">
        <w:rPr>
          <w:rFonts w:ascii="Times New Roman" w:hAnsi="Times New Roman" w:cs="Times New Roman"/>
          <w:noProof/>
          <w:sz w:val="24"/>
          <w:szCs w:val="24"/>
        </w:rPr>
        <w:t>. 2013;158(12):877-889. doi:10.7326/0003-4819-158-12-201306180-00005 [doi].</w:t>
      </w:r>
    </w:p>
    <w:p w14:paraId="0D47BE5A"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16. </w:t>
      </w:r>
      <w:r w:rsidRPr="00302F26">
        <w:rPr>
          <w:rFonts w:ascii="Times New Roman" w:hAnsi="Times New Roman" w:cs="Times New Roman"/>
          <w:noProof/>
          <w:sz w:val="24"/>
          <w:szCs w:val="24"/>
        </w:rPr>
        <w:tab/>
        <w:t xml:space="preserve">Martin BI, Lurie JD, Tosteson ANA, Deyo RA, Farrokhi FR, Mirza SK. Use of bone morphogenetic protein among patients undergoing fusion for degenerative diagnoses in the United States, 2002 to 2012. </w:t>
      </w:r>
      <w:r w:rsidRPr="00302F26">
        <w:rPr>
          <w:rFonts w:ascii="Times New Roman" w:hAnsi="Times New Roman" w:cs="Times New Roman"/>
          <w:i/>
          <w:iCs/>
          <w:noProof/>
          <w:sz w:val="24"/>
          <w:szCs w:val="24"/>
        </w:rPr>
        <w:t>Spine J</w:t>
      </w:r>
      <w:r w:rsidRPr="00302F26">
        <w:rPr>
          <w:rFonts w:ascii="Times New Roman" w:hAnsi="Times New Roman" w:cs="Times New Roman"/>
          <w:noProof/>
          <w:sz w:val="24"/>
          <w:szCs w:val="24"/>
        </w:rPr>
        <w:t>. 2015;15(4):692-699. doi:10.1016/j.spinee.2014.12.010 [doi].</w:t>
      </w:r>
    </w:p>
    <w:p w14:paraId="145E2E02"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17. </w:t>
      </w:r>
      <w:r w:rsidRPr="00302F26">
        <w:rPr>
          <w:rFonts w:ascii="Times New Roman" w:hAnsi="Times New Roman" w:cs="Times New Roman"/>
          <w:noProof/>
          <w:sz w:val="24"/>
          <w:szCs w:val="24"/>
        </w:rPr>
        <w:tab/>
        <w:t xml:space="preserve">Wong E, Sangadala S, Boden SD, et al. A novel low-molecular-weight compound enhances ectopic bone formation and fracture repair. </w:t>
      </w:r>
      <w:r w:rsidRPr="00302F26">
        <w:rPr>
          <w:rFonts w:ascii="Times New Roman" w:hAnsi="Times New Roman" w:cs="Times New Roman"/>
          <w:i/>
          <w:iCs/>
          <w:noProof/>
          <w:sz w:val="24"/>
          <w:szCs w:val="24"/>
        </w:rPr>
        <w:t>J bone Jt surgeryAmerican Vol</w:t>
      </w:r>
      <w:r w:rsidRPr="00302F26">
        <w:rPr>
          <w:rFonts w:ascii="Times New Roman" w:hAnsi="Times New Roman" w:cs="Times New Roman"/>
          <w:noProof/>
          <w:sz w:val="24"/>
          <w:szCs w:val="24"/>
        </w:rPr>
        <w:t>. 2013;95(5):454-461. doi:10.2106/JBJS.L.00275 [doi].</w:t>
      </w:r>
    </w:p>
    <w:p w14:paraId="7C17B5C0"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18. </w:t>
      </w:r>
      <w:r w:rsidRPr="00302F26">
        <w:rPr>
          <w:rFonts w:ascii="Times New Roman" w:hAnsi="Times New Roman" w:cs="Times New Roman"/>
          <w:noProof/>
          <w:sz w:val="24"/>
          <w:szCs w:val="24"/>
        </w:rPr>
        <w:tab/>
        <w:t xml:space="preserve">Mundy G, Garrett R, Harris S, et al. Stimulation of bone formation in vitro and in rodents by statins. </w:t>
      </w:r>
      <w:r w:rsidRPr="00302F26">
        <w:rPr>
          <w:rFonts w:ascii="Times New Roman" w:hAnsi="Times New Roman" w:cs="Times New Roman"/>
          <w:i/>
          <w:iCs/>
          <w:noProof/>
          <w:sz w:val="24"/>
          <w:szCs w:val="24"/>
        </w:rPr>
        <w:t>Science</w:t>
      </w:r>
      <w:r w:rsidRPr="00302F26">
        <w:rPr>
          <w:rFonts w:ascii="Times New Roman" w:hAnsi="Times New Roman" w:cs="Times New Roman"/>
          <w:noProof/>
          <w:sz w:val="24"/>
          <w:szCs w:val="24"/>
        </w:rPr>
        <w:t>. 1999;286(5446):1946-1949. doi:8029 [pii].</w:t>
      </w:r>
    </w:p>
    <w:p w14:paraId="34A47B57"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19. </w:t>
      </w:r>
      <w:r w:rsidRPr="00302F26">
        <w:rPr>
          <w:rFonts w:ascii="Times New Roman" w:hAnsi="Times New Roman" w:cs="Times New Roman"/>
          <w:noProof/>
          <w:sz w:val="24"/>
          <w:szCs w:val="24"/>
        </w:rPr>
        <w:tab/>
        <w:t xml:space="preserve">Ghosh-Choudhury N, Mandal CC, Choudhury GG. Statin-induced Ras activation integrates the phosphatidylinositol 3-kinase signal to Akt and MAPK for bone morphogenetic protein-2 expression in osteoblast differentiation. </w:t>
      </w:r>
      <w:r w:rsidRPr="00302F26">
        <w:rPr>
          <w:rFonts w:ascii="Times New Roman" w:hAnsi="Times New Roman" w:cs="Times New Roman"/>
          <w:i/>
          <w:iCs/>
          <w:noProof/>
          <w:sz w:val="24"/>
          <w:szCs w:val="24"/>
        </w:rPr>
        <w:t>J Biol Chem</w:t>
      </w:r>
      <w:r w:rsidRPr="00302F26">
        <w:rPr>
          <w:rFonts w:ascii="Times New Roman" w:hAnsi="Times New Roman" w:cs="Times New Roman"/>
          <w:noProof/>
          <w:sz w:val="24"/>
          <w:szCs w:val="24"/>
        </w:rPr>
        <w:t>. 2007;282(7):4983-4993. doi:M606706200 [pii].</w:t>
      </w:r>
    </w:p>
    <w:p w14:paraId="251C845C"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20. </w:t>
      </w:r>
      <w:r w:rsidRPr="00302F26">
        <w:rPr>
          <w:rFonts w:ascii="Times New Roman" w:hAnsi="Times New Roman" w:cs="Times New Roman"/>
          <w:noProof/>
          <w:sz w:val="24"/>
          <w:szCs w:val="24"/>
        </w:rPr>
        <w:tab/>
        <w:t xml:space="preserve">Kaji H, Naito J, Inoue Y, Sowa H, Sugimoto T, Chihara K. Statin suppresses apoptosis in osteoblastic cells: role of transforming growth factor-beta-Smad3 pathway. </w:t>
      </w:r>
      <w:r w:rsidRPr="00302F26">
        <w:rPr>
          <w:rFonts w:ascii="Times New Roman" w:hAnsi="Times New Roman" w:cs="Times New Roman"/>
          <w:i/>
          <w:iCs/>
          <w:noProof/>
          <w:sz w:val="24"/>
          <w:szCs w:val="24"/>
        </w:rPr>
        <w:t>Horm Metab Res</w:t>
      </w:r>
      <w:r w:rsidRPr="00302F26">
        <w:rPr>
          <w:rFonts w:ascii="Times New Roman" w:hAnsi="Times New Roman" w:cs="Times New Roman"/>
          <w:noProof/>
          <w:sz w:val="24"/>
          <w:szCs w:val="24"/>
        </w:rPr>
        <w:t>. 2008;40(11):746-751. doi:10.1055/s-0028-1082051 [doi].</w:t>
      </w:r>
    </w:p>
    <w:p w14:paraId="520E8966"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21. </w:t>
      </w:r>
      <w:r w:rsidRPr="00302F26">
        <w:rPr>
          <w:rFonts w:ascii="Times New Roman" w:hAnsi="Times New Roman" w:cs="Times New Roman"/>
          <w:noProof/>
          <w:sz w:val="24"/>
          <w:szCs w:val="24"/>
        </w:rPr>
        <w:tab/>
        <w:t xml:space="preserve">Tsartsalis AN, Dokos C, Kaiafa GD, et al. Statins, bone formation and osteoporosis: hope or hype? </w:t>
      </w:r>
      <w:r w:rsidRPr="00302F26">
        <w:rPr>
          <w:rFonts w:ascii="Times New Roman" w:hAnsi="Times New Roman" w:cs="Times New Roman"/>
          <w:i/>
          <w:iCs/>
          <w:noProof/>
          <w:sz w:val="24"/>
          <w:szCs w:val="24"/>
        </w:rPr>
        <w:t>Hormones (Athens)</w:t>
      </w:r>
      <w:r w:rsidRPr="00302F26">
        <w:rPr>
          <w:rFonts w:ascii="Times New Roman" w:hAnsi="Times New Roman" w:cs="Times New Roman"/>
          <w:noProof/>
          <w:sz w:val="24"/>
          <w:szCs w:val="24"/>
        </w:rPr>
        <w:t>. 2012;11(2):126-139.</w:t>
      </w:r>
    </w:p>
    <w:p w14:paraId="12B9EEF1"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22. </w:t>
      </w:r>
      <w:r w:rsidRPr="00302F26">
        <w:rPr>
          <w:rFonts w:ascii="Times New Roman" w:hAnsi="Times New Roman" w:cs="Times New Roman"/>
          <w:noProof/>
          <w:sz w:val="24"/>
          <w:szCs w:val="24"/>
        </w:rPr>
        <w:tab/>
        <w:t xml:space="preserve">Ruan F, Zheng Q, Wang J. Mechanisms of bone anabolism regulated by statins. </w:t>
      </w:r>
      <w:r w:rsidRPr="00302F26">
        <w:rPr>
          <w:rFonts w:ascii="Times New Roman" w:hAnsi="Times New Roman" w:cs="Times New Roman"/>
          <w:i/>
          <w:iCs/>
          <w:noProof/>
          <w:sz w:val="24"/>
          <w:szCs w:val="24"/>
        </w:rPr>
        <w:t>Biosci Rep</w:t>
      </w:r>
      <w:r w:rsidRPr="00302F26">
        <w:rPr>
          <w:rFonts w:ascii="Times New Roman" w:hAnsi="Times New Roman" w:cs="Times New Roman"/>
          <w:noProof/>
          <w:sz w:val="24"/>
          <w:szCs w:val="24"/>
        </w:rPr>
        <w:t>. 2012;32(6):511-519. doi:10.1042/BSR20110118 [doi].</w:t>
      </w:r>
    </w:p>
    <w:p w14:paraId="021041B6"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23. </w:t>
      </w:r>
      <w:r w:rsidRPr="00302F26">
        <w:rPr>
          <w:rFonts w:ascii="Times New Roman" w:hAnsi="Times New Roman" w:cs="Times New Roman"/>
          <w:noProof/>
          <w:sz w:val="24"/>
          <w:szCs w:val="24"/>
        </w:rPr>
        <w:tab/>
        <w:t xml:space="preserve">Pauly S, Luttosch F, Morawski M, Haas NP, Schmidmaier G, Wildemann B. Simvastatin locally applied from a biodegradable coating of osteosynthetic implants improves fracture healing comparable to BMP-2 application. </w:t>
      </w:r>
      <w:r w:rsidRPr="00302F26">
        <w:rPr>
          <w:rFonts w:ascii="Times New Roman" w:hAnsi="Times New Roman" w:cs="Times New Roman"/>
          <w:i/>
          <w:iCs/>
          <w:noProof/>
          <w:sz w:val="24"/>
          <w:szCs w:val="24"/>
        </w:rPr>
        <w:t>Bone</w:t>
      </w:r>
      <w:r w:rsidRPr="00302F26">
        <w:rPr>
          <w:rFonts w:ascii="Times New Roman" w:hAnsi="Times New Roman" w:cs="Times New Roman"/>
          <w:noProof/>
          <w:sz w:val="24"/>
          <w:szCs w:val="24"/>
        </w:rPr>
        <w:t>. 2009;45(3):505-511. doi:10.1016/j.bone.2009.05.010 [doi].</w:t>
      </w:r>
    </w:p>
    <w:p w14:paraId="44B59266"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24. </w:t>
      </w:r>
      <w:r w:rsidRPr="00302F26">
        <w:rPr>
          <w:rFonts w:ascii="Times New Roman" w:hAnsi="Times New Roman" w:cs="Times New Roman"/>
          <w:noProof/>
          <w:sz w:val="24"/>
          <w:szCs w:val="24"/>
        </w:rPr>
        <w:tab/>
        <w:t xml:space="preserve">Ho MH, Chiang CP, Liu YF, et al. Highly efficient release of lovastatin from poly(lactic-co-glycolic acid) nanoparticles enhances bone repair in rats. </w:t>
      </w:r>
      <w:r w:rsidRPr="00302F26">
        <w:rPr>
          <w:rFonts w:ascii="Times New Roman" w:hAnsi="Times New Roman" w:cs="Times New Roman"/>
          <w:i/>
          <w:iCs/>
          <w:noProof/>
          <w:sz w:val="24"/>
          <w:szCs w:val="24"/>
        </w:rPr>
        <w:t>J Orthop Res</w:t>
      </w:r>
      <w:r w:rsidRPr="00302F26">
        <w:rPr>
          <w:rFonts w:ascii="Times New Roman" w:hAnsi="Times New Roman" w:cs="Times New Roman"/>
          <w:noProof/>
          <w:sz w:val="24"/>
          <w:szCs w:val="24"/>
        </w:rPr>
        <w:t>. 2011;29(10):1504-1510. doi:10.1002/jor.21421 [doi].</w:t>
      </w:r>
    </w:p>
    <w:p w14:paraId="04BE1E24"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25. </w:t>
      </w:r>
      <w:r w:rsidRPr="00302F26">
        <w:rPr>
          <w:rFonts w:ascii="Times New Roman" w:hAnsi="Times New Roman" w:cs="Times New Roman"/>
          <w:noProof/>
          <w:sz w:val="24"/>
          <w:szCs w:val="24"/>
        </w:rPr>
        <w:tab/>
        <w:t xml:space="preserve">Fukui T, Ii M, Shoji T, et al. Therapeutic effect of local administration of low-dose simvastatin-conjugated gelatin hydrogel for fracture healing. </w:t>
      </w:r>
      <w:r w:rsidRPr="00302F26">
        <w:rPr>
          <w:rFonts w:ascii="Times New Roman" w:hAnsi="Times New Roman" w:cs="Times New Roman"/>
          <w:i/>
          <w:iCs/>
          <w:noProof/>
          <w:sz w:val="24"/>
          <w:szCs w:val="24"/>
        </w:rPr>
        <w:t>J Bone Miner Res</w:t>
      </w:r>
      <w:r w:rsidRPr="00302F26">
        <w:rPr>
          <w:rFonts w:ascii="Times New Roman" w:hAnsi="Times New Roman" w:cs="Times New Roman"/>
          <w:noProof/>
          <w:sz w:val="24"/>
          <w:szCs w:val="24"/>
        </w:rPr>
        <w:t xml:space="preserve">. </w:t>
      </w:r>
      <w:r w:rsidRPr="00302F26">
        <w:rPr>
          <w:rFonts w:ascii="Times New Roman" w:hAnsi="Times New Roman" w:cs="Times New Roman"/>
          <w:noProof/>
          <w:sz w:val="24"/>
          <w:szCs w:val="24"/>
        </w:rPr>
        <w:lastRenderedPageBreak/>
        <w:t>2012;27(5):1118-1131. doi:10.1002/jbmr.1558 [doi].</w:t>
      </w:r>
    </w:p>
    <w:p w14:paraId="0C96EF59"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26. </w:t>
      </w:r>
      <w:r w:rsidRPr="00302F26">
        <w:rPr>
          <w:rFonts w:ascii="Times New Roman" w:hAnsi="Times New Roman" w:cs="Times New Roman"/>
          <w:noProof/>
          <w:sz w:val="24"/>
          <w:szCs w:val="24"/>
        </w:rPr>
        <w:tab/>
        <w:t xml:space="preserve">Bostan B, Gunes T, Asci M, et al. Simvastatin improves spinal fusion in rats. </w:t>
      </w:r>
      <w:r w:rsidRPr="00302F26">
        <w:rPr>
          <w:rFonts w:ascii="Times New Roman" w:hAnsi="Times New Roman" w:cs="Times New Roman"/>
          <w:i/>
          <w:iCs/>
          <w:noProof/>
          <w:sz w:val="24"/>
          <w:szCs w:val="24"/>
        </w:rPr>
        <w:t>Acta Orthop Traumatol Turc</w:t>
      </w:r>
      <w:r w:rsidRPr="00302F26">
        <w:rPr>
          <w:rFonts w:ascii="Times New Roman" w:hAnsi="Times New Roman" w:cs="Times New Roman"/>
          <w:noProof/>
          <w:sz w:val="24"/>
          <w:szCs w:val="24"/>
        </w:rPr>
        <w:t>. 2011;45(4):270-275. doi:10.3944/AOTT.2011.2526 [doi].</w:t>
      </w:r>
    </w:p>
    <w:p w14:paraId="1568D984"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27. </w:t>
      </w:r>
      <w:r w:rsidRPr="00302F26">
        <w:rPr>
          <w:rFonts w:ascii="Times New Roman" w:hAnsi="Times New Roman" w:cs="Times New Roman"/>
          <w:noProof/>
          <w:sz w:val="24"/>
          <w:szCs w:val="24"/>
        </w:rPr>
        <w:tab/>
        <w:t xml:space="preserve">Yee AJ, Bae HW, Friess D, et al. The use of simvastatin in rabbit posterolateral lumbar intertransverse process spine fusion. </w:t>
      </w:r>
      <w:r w:rsidRPr="00302F26">
        <w:rPr>
          <w:rFonts w:ascii="Times New Roman" w:hAnsi="Times New Roman" w:cs="Times New Roman"/>
          <w:i/>
          <w:iCs/>
          <w:noProof/>
          <w:sz w:val="24"/>
          <w:szCs w:val="24"/>
        </w:rPr>
        <w:t>Spine J</w:t>
      </w:r>
      <w:r w:rsidRPr="00302F26">
        <w:rPr>
          <w:rFonts w:ascii="Times New Roman" w:hAnsi="Times New Roman" w:cs="Times New Roman"/>
          <w:noProof/>
          <w:sz w:val="24"/>
          <w:szCs w:val="24"/>
        </w:rPr>
        <w:t>. 2006;6(4):391-396. doi:S1529-9430(05)01026-0 [pii].</w:t>
      </w:r>
    </w:p>
    <w:p w14:paraId="726D488F"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28. </w:t>
      </w:r>
      <w:r w:rsidRPr="00302F26">
        <w:rPr>
          <w:rFonts w:ascii="Times New Roman" w:hAnsi="Times New Roman" w:cs="Times New Roman"/>
          <w:noProof/>
          <w:sz w:val="24"/>
          <w:szCs w:val="24"/>
        </w:rPr>
        <w:tab/>
        <w:t xml:space="preserve">Tai IC, Fu YC, Wang CK, Chang JK, Ho ML. Local delivery of controlled-release simvastatin/PLGA/HAp microspheres enhances bone repair. </w:t>
      </w:r>
      <w:r w:rsidRPr="00302F26">
        <w:rPr>
          <w:rFonts w:ascii="Times New Roman" w:hAnsi="Times New Roman" w:cs="Times New Roman"/>
          <w:i/>
          <w:iCs/>
          <w:noProof/>
          <w:sz w:val="24"/>
          <w:szCs w:val="24"/>
        </w:rPr>
        <w:t>Int J Nanomedicine</w:t>
      </w:r>
      <w:r w:rsidRPr="00302F26">
        <w:rPr>
          <w:rFonts w:ascii="Times New Roman" w:hAnsi="Times New Roman" w:cs="Times New Roman"/>
          <w:noProof/>
          <w:sz w:val="24"/>
          <w:szCs w:val="24"/>
        </w:rPr>
        <w:t>. 2013;8:3895-3904. doi:10.2147/IJN.S48694 [doi].</w:t>
      </w:r>
    </w:p>
    <w:p w14:paraId="65858B36"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29. </w:t>
      </w:r>
      <w:r w:rsidRPr="00302F26">
        <w:rPr>
          <w:rFonts w:ascii="Times New Roman" w:hAnsi="Times New Roman" w:cs="Times New Roman"/>
          <w:noProof/>
          <w:sz w:val="24"/>
          <w:szCs w:val="24"/>
        </w:rPr>
        <w:tab/>
        <w:t xml:space="preserve">Rosselli JE, Martins DM, Martins JL, Oliveira CR, Fagundes DJ, Taha MO. The effect of simvastatin on the regeneration of surgical cavities in the femurs of rabbits. </w:t>
      </w:r>
      <w:r w:rsidRPr="00302F26">
        <w:rPr>
          <w:rFonts w:ascii="Times New Roman" w:hAnsi="Times New Roman" w:cs="Times New Roman"/>
          <w:i/>
          <w:iCs/>
          <w:noProof/>
          <w:sz w:val="24"/>
          <w:szCs w:val="24"/>
        </w:rPr>
        <w:t>Acta Cir Bras</w:t>
      </w:r>
      <w:r w:rsidRPr="00302F26">
        <w:rPr>
          <w:rFonts w:ascii="Times New Roman" w:hAnsi="Times New Roman" w:cs="Times New Roman"/>
          <w:noProof/>
          <w:sz w:val="24"/>
          <w:szCs w:val="24"/>
        </w:rPr>
        <w:t>. 2014;29(2):87-92. doi:10.1590/S0102-86502014000200003 [doi].</w:t>
      </w:r>
    </w:p>
    <w:p w14:paraId="4F3A7ACC"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30. </w:t>
      </w:r>
      <w:r w:rsidRPr="00302F26">
        <w:rPr>
          <w:rFonts w:ascii="Times New Roman" w:hAnsi="Times New Roman" w:cs="Times New Roman"/>
          <w:noProof/>
          <w:sz w:val="24"/>
          <w:szCs w:val="24"/>
        </w:rPr>
        <w:tab/>
        <w:t xml:space="preserve">Wang JW, Xu SW, Yang DS, Lv RK. Locally applied simvastatin promotes fracture healing in ovariectomized rat. </w:t>
      </w:r>
      <w:r w:rsidRPr="00302F26">
        <w:rPr>
          <w:rFonts w:ascii="Times New Roman" w:hAnsi="Times New Roman" w:cs="Times New Roman"/>
          <w:i/>
          <w:iCs/>
          <w:noProof/>
          <w:sz w:val="24"/>
          <w:szCs w:val="24"/>
        </w:rPr>
        <w:t>Osteoporos Int</w:t>
      </w:r>
      <w:r w:rsidRPr="00302F26">
        <w:rPr>
          <w:rFonts w:ascii="Times New Roman" w:hAnsi="Times New Roman" w:cs="Times New Roman"/>
          <w:noProof/>
          <w:sz w:val="24"/>
          <w:szCs w:val="24"/>
        </w:rPr>
        <w:t>. 2007;18(12):1641-1650. doi:10.1007/s00198-007-0412-2 [doi].</w:t>
      </w:r>
    </w:p>
    <w:p w14:paraId="1185B855"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31. </w:t>
      </w:r>
      <w:r w:rsidRPr="00302F26">
        <w:rPr>
          <w:rFonts w:ascii="Times New Roman" w:hAnsi="Times New Roman" w:cs="Times New Roman"/>
          <w:noProof/>
          <w:sz w:val="24"/>
          <w:szCs w:val="24"/>
        </w:rPr>
        <w:tab/>
        <w:t xml:space="preserve">Papadimitriou K, Karkavelas G, Vouros I, Kessopoulou E, Konstantinidis A. Effects of local application of simvastatin on bone regeneration in femoral bone defects in rabbit. </w:t>
      </w:r>
      <w:r w:rsidRPr="00302F26">
        <w:rPr>
          <w:rFonts w:ascii="Times New Roman" w:hAnsi="Times New Roman" w:cs="Times New Roman"/>
          <w:i/>
          <w:iCs/>
          <w:noProof/>
          <w:sz w:val="24"/>
          <w:szCs w:val="24"/>
        </w:rPr>
        <w:t>J Craniomaxillofac Surg</w:t>
      </w:r>
      <w:r w:rsidRPr="00302F26">
        <w:rPr>
          <w:rFonts w:ascii="Times New Roman" w:hAnsi="Times New Roman" w:cs="Times New Roman"/>
          <w:noProof/>
          <w:sz w:val="24"/>
          <w:szCs w:val="24"/>
        </w:rPr>
        <w:t>. 2015;43(2):232-237. doi:10.1016/j.jcms.2014.11.011 [doi].</w:t>
      </w:r>
    </w:p>
    <w:p w14:paraId="51FD4EA6"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32. </w:t>
      </w:r>
      <w:r w:rsidRPr="00302F26">
        <w:rPr>
          <w:rFonts w:ascii="Times New Roman" w:hAnsi="Times New Roman" w:cs="Times New Roman"/>
          <w:noProof/>
          <w:sz w:val="24"/>
          <w:szCs w:val="24"/>
        </w:rPr>
        <w:tab/>
        <w:t xml:space="preserve">Tan J, Yang N, Fu X, et al. Single-dose local simvastatin injection improves implant fixation via increased angiogenesis and bone formation in an ovariectomized rat model. </w:t>
      </w:r>
      <w:r w:rsidRPr="00302F26">
        <w:rPr>
          <w:rFonts w:ascii="Times New Roman" w:hAnsi="Times New Roman" w:cs="Times New Roman"/>
          <w:i/>
          <w:iCs/>
          <w:noProof/>
          <w:sz w:val="24"/>
          <w:szCs w:val="24"/>
        </w:rPr>
        <w:t>Med Sci Monit</w:t>
      </w:r>
      <w:r w:rsidRPr="00302F26">
        <w:rPr>
          <w:rFonts w:ascii="Times New Roman" w:hAnsi="Times New Roman" w:cs="Times New Roman"/>
          <w:noProof/>
          <w:sz w:val="24"/>
          <w:szCs w:val="24"/>
        </w:rPr>
        <w:t>. 2015;21:1428-1439. doi:10.12659/MSM.892247 [doi].</w:t>
      </w:r>
    </w:p>
    <w:p w14:paraId="7DBF11DD"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33. </w:t>
      </w:r>
      <w:r w:rsidRPr="00302F26">
        <w:rPr>
          <w:rFonts w:ascii="Times New Roman" w:hAnsi="Times New Roman" w:cs="Times New Roman"/>
          <w:noProof/>
          <w:sz w:val="24"/>
          <w:szCs w:val="24"/>
        </w:rPr>
        <w:tab/>
        <w:t xml:space="preserve">Kaito T, Johnson J, Ellerman J, et al. Synergistic effect of bone morphogenetic proteins 2 and 7 by ex vivo gene therapy in a rat spinal fusion model. </w:t>
      </w:r>
      <w:r w:rsidRPr="00302F26">
        <w:rPr>
          <w:rFonts w:ascii="Times New Roman" w:hAnsi="Times New Roman" w:cs="Times New Roman"/>
          <w:i/>
          <w:iCs/>
          <w:noProof/>
          <w:sz w:val="24"/>
          <w:szCs w:val="24"/>
        </w:rPr>
        <w:t>J bone Jt surgeryAmerican Vol</w:t>
      </w:r>
      <w:r w:rsidRPr="00302F26">
        <w:rPr>
          <w:rFonts w:ascii="Times New Roman" w:hAnsi="Times New Roman" w:cs="Times New Roman"/>
          <w:noProof/>
          <w:sz w:val="24"/>
          <w:szCs w:val="24"/>
        </w:rPr>
        <w:t>. 2013;95(17):1612-1619. doi:10.2106/JBJS.L.01396 [doi].</w:t>
      </w:r>
    </w:p>
    <w:p w14:paraId="261D4A24"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34. </w:t>
      </w:r>
      <w:r w:rsidRPr="00302F26">
        <w:rPr>
          <w:rFonts w:ascii="Times New Roman" w:hAnsi="Times New Roman" w:cs="Times New Roman"/>
          <w:noProof/>
          <w:sz w:val="24"/>
          <w:szCs w:val="24"/>
        </w:rPr>
        <w:tab/>
        <w:t xml:space="preserve">Landis JR, Koch GG. The measurement of observer agreement for categorical data. </w:t>
      </w:r>
      <w:r w:rsidRPr="00302F26">
        <w:rPr>
          <w:rFonts w:ascii="Times New Roman" w:hAnsi="Times New Roman" w:cs="Times New Roman"/>
          <w:i/>
          <w:iCs/>
          <w:noProof/>
          <w:sz w:val="24"/>
          <w:szCs w:val="24"/>
        </w:rPr>
        <w:t>Biometrics</w:t>
      </w:r>
      <w:r w:rsidRPr="00302F26">
        <w:rPr>
          <w:rFonts w:ascii="Times New Roman" w:hAnsi="Times New Roman" w:cs="Times New Roman"/>
          <w:noProof/>
          <w:sz w:val="24"/>
          <w:szCs w:val="24"/>
        </w:rPr>
        <w:t>. 1977;33(1). doi:10.2307/2529310.</w:t>
      </w:r>
    </w:p>
    <w:p w14:paraId="4CB20E7C"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35. </w:t>
      </w:r>
      <w:r w:rsidRPr="00302F26">
        <w:rPr>
          <w:rFonts w:ascii="Times New Roman" w:hAnsi="Times New Roman" w:cs="Times New Roman"/>
          <w:noProof/>
          <w:sz w:val="24"/>
          <w:szCs w:val="24"/>
        </w:rPr>
        <w:tab/>
        <w:t xml:space="preserve">Sirtori CR. The pharmacology of statins. </w:t>
      </w:r>
      <w:r w:rsidRPr="00302F26">
        <w:rPr>
          <w:rFonts w:ascii="Times New Roman" w:hAnsi="Times New Roman" w:cs="Times New Roman"/>
          <w:i/>
          <w:iCs/>
          <w:noProof/>
          <w:sz w:val="24"/>
          <w:szCs w:val="24"/>
        </w:rPr>
        <w:t>Pharmacol Res</w:t>
      </w:r>
      <w:r w:rsidRPr="00302F26">
        <w:rPr>
          <w:rFonts w:ascii="Times New Roman" w:hAnsi="Times New Roman" w:cs="Times New Roman"/>
          <w:noProof/>
          <w:sz w:val="24"/>
          <w:szCs w:val="24"/>
        </w:rPr>
        <w:t>. March 2014. doi:S1043-6618(14)00025-5 [pii].</w:t>
      </w:r>
    </w:p>
    <w:p w14:paraId="65E288DB"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36. </w:t>
      </w:r>
      <w:r w:rsidRPr="00302F26">
        <w:rPr>
          <w:rFonts w:ascii="Times New Roman" w:hAnsi="Times New Roman" w:cs="Times New Roman"/>
          <w:noProof/>
          <w:sz w:val="24"/>
          <w:szCs w:val="24"/>
        </w:rPr>
        <w:tab/>
        <w:t xml:space="preserve">Kaji H, Kanatani M, Sugimoto T, Chihara K. Statins modulate the levels of osteoprotegerin/receptor activator of NFkappaB ligand mRNA in mouse bone-cell cultures. </w:t>
      </w:r>
      <w:r w:rsidRPr="00302F26">
        <w:rPr>
          <w:rFonts w:ascii="Times New Roman" w:hAnsi="Times New Roman" w:cs="Times New Roman"/>
          <w:i/>
          <w:iCs/>
          <w:noProof/>
          <w:sz w:val="24"/>
          <w:szCs w:val="24"/>
        </w:rPr>
        <w:t>Horm Metab Res</w:t>
      </w:r>
      <w:r w:rsidRPr="00302F26">
        <w:rPr>
          <w:rFonts w:ascii="Times New Roman" w:hAnsi="Times New Roman" w:cs="Times New Roman"/>
          <w:noProof/>
          <w:sz w:val="24"/>
          <w:szCs w:val="24"/>
        </w:rPr>
        <w:t>. 2005;37(10):589-592. doi:10.1055/s-2005-870538 [doi].</w:t>
      </w:r>
    </w:p>
    <w:p w14:paraId="3EA92348"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37. </w:t>
      </w:r>
      <w:r w:rsidRPr="00302F26">
        <w:rPr>
          <w:rFonts w:ascii="Times New Roman" w:hAnsi="Times New Roman" w:cs="Times New Roman"/>
          <w:noProof/>
          <w:sz w:val="24"/>
          <w:szCs w:val="24"/>
        </w:rPr>
        <w:tab/>
        <w:t xml:space="preserve">Skoglund B, Aspenberg P. Locally applied Simvastatin improves fracture healing in mice. </w:t>
      </w:r>
      <w:r w:rsidRPr="00302F26">
        <w:rPr>
          <w:rFonts w:ascii="Times New Roman" w:hAnsi="Times New Roman" w:cs="Times New Roman"/>
          <w:i/>
          <w:iCs/>
          <w:noProof/>
          <w:sz w:val="24"/>
          <w:szCs w:val="24"/>
        </w:rPr>
        <w:t>BMC Musculoskelet Disord</w:t>
      </w:r>
      <w:r w:rsidRPr="00302F26">
        <w:rPr>
          <w:rFonts w:ascii="Times New Roman" w:hAnsi="Times New Roman" w:cs="Times New Roman"/>
          <w:noProof/>
          <w:sz w:val="24"/>
          <w:szCs w:val="24"/>
        </w:rPr>
        <w:t>. 2007;8:98. doi:1471-2474-8-98 [pii].</w:t>
      </w:r>
    </w:p>
    <w:p w14:paraId="79BB664E"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38. </w:t>
      </w:r>
      <w:r w:rsidRPr="00302F26">
        <w:rPr>
          <w:rFonts w:ascii="Times New Roman" w:hAnsi="Times New Roman" w:cs="Times New Roman"/>
          <w:noProof/>
          <w:sz w:val="24"/>
          <w:szCs w:val="24"/>
        </w:rPr>
        <w:tab/>
        <w:t xml:space="preserve">Skoglund B, Forslund C, Aspenberg P. Simvastatin improves fracture healing in mice. </w:t>
      </w:r>
      <w:r w:rsidRPr="00302F26">
        <w:rPr>
          <w:rFonts w:ascii="Times New Roman" w:hAnsi="Times New Roman" w:cs="Times New Roman"/>
          <w:i/>
          <w:iCs/>
          <w:noProof/>
          <w:sz w:val="24"/>
          <w:szCs w:val="24"/>
        </w:rPr>
        <w:t>J Bone Miner Res</w:t>
      </w:r>
      <w:r w:rsidRPr="00302F26">
        <w:rPr>
          <w:rFonts w:ascii="Times New Roman" w:hAnsi="Times New Roman" w:cs="Times New Roman"/>
          <w:noProof/>
          <w:sz w:val="24"/>
          <w:szCs w:val="24"/>
        </w:rPr>
        <w:t>. 2002;17(11):2004-2008. doi:10.1359/jbmr.2002.17.11.2004 [doi].</w:t>
      </w:r>
    </w:p>
    <w:p w14:paraId="2550C6C8"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szCs w:val="24"/>
        </w:rPr>
      </w:pPr>
      <w:r w:rsidRPr="00302F26">
        <w:rPr>
          <w:rFonts w:ascii="Times New Roman" w:hAnsi="Times New Roman" w:cs="Times New Roman"/>
          <w:noProof/>
          <w:sz w:val="24"/>
          <w:szCs w:val="24"/>
        </w:rPr>
        <w:t xml:space="preserve">39. </w:t>
      </w:r>
      <w:r w:rsidRPr="00302F26">
        <w:rPr>
          <w:rFonts w:ascii="Times New Roman" w:hAnsi="Times New Roman" w:cs="Times New Roman"/>
          <w:noProof/>
          <w:sz w:val="24"/>
          <w:szCs w:val="24"/>
        </w:rPr>
        <w:tab/>
        <w:t xml:space="preserve">Oka S, Matsumoto T, Kubo S, et al. Local administration of low-dose simvastatin-conjugated gelatin hydrogel for tendon-bone healing in anterior cruciate ligament reconstruction. </w:t>
      </w:r>
      <w:r w:rsidRPr="00302F26">
        <w:rPr>
          <w:rFonts w:ascii="Times New Roman" w:hAnsi="Times New Roman" w:cs="Times New Roman"/>
          <w:i/>
          <w:iCs/>
          <w:noProof/>
          <w:sz w:val="24"/>
          <w:szCs w:val="24"/>
        </w:rPr>
        <w:t>Tissue Eng A</w:t>
      </w:r>
      <w:r w:rsidRPr="00302F26">
        <w:rPr>
          <w:rFonts w:ascii="Times New Roman" w:hAnsi="Times New Roman" w:cs="Times New Roman"/>
          <w:noProof/>
          <w:sz w:val="24"/>
          <w:szCs w:val="24"/>
        </w:rPr>
        <w:t xml:space="preserve">. 2013;19(9-10):1233-1243. doi:10.1089/ten.TEA.2012.0325 </w:t>
      </w:r>
      <w:r w:rsidRPr="00302F26">
        <w:rPr>
          <w:rFonts w:ascii="Times New Roman" w:hAnsi="Times New Roman" w:cs="Times New Roman"/>
          <w:noProof/>
          <w:sz w:val="24"/>
          <w:szCs w:val="24"/>
        </w:rPr>
        <w:lastRenderedPageBreak/>
        <w:t>[doi].</w:t>
      </w:r>
    </w:p>
    <w:p w14:paraId="26E6B7A8" w14:textId="77777777" w:rsidR="00302F26" w:rsidRPr="00302F26" w:rsidRDefault="00302F26" w:rsidP="00302F26">
      <w:pPr>
        <w:widowControl w:val="0"/>
        <w:autoSpaceDE w:val="0"/>
        <w:autoSpaceDN w:val="0"/>
        <w:adjustRightInd w:val="0"/>
        <w:spacing w:line="240" w:lineRule="auto"/>
        <w:ind w:left="640" w:hanging="640"/>
        <w:rPr>
          <w:rFonts w:ascii="Times New Roman" w:hAnsi="Times New Roman" w:cs="Times New Roman"/>
          <w:noProof/>
          <w:sz w:val="24"/>
        </w:rPr>
      </w:pPr>
      <w:r w:rsidRPr="00302F26">
        <w:rPr>
          <w:rFonts w:ascii="Times New Roman" w:hAnsi="Times New Roman" w:cs="Times New Roman"/>
          <w:noProof/>
          <w:sz w:val="24"/>
          <w:szCs w:val="24"/>
        </w:rPr>
        <w:t xml:space="preserve">40. </w:t>
      </w:r>
      <w:r w:rsidRPr="00302F26">
        <w:rPr>
          <w:rFonts w:ascii="Times New Roman" w:hAnsi="Times New Roman" w:cs="Times New Roman"/>
          <w:noProof/>
          <w:sz w:val="24"/>
          <w:szCs w:val="24"/>
        </w:rPr>
        <w:tab/>
        <w:t xml:space="preserve">Yan Q, Xiao LQ, Tan L, et al. Controlled release of simvastatin-loaded thermo-sensitive PLGA-PEG-PLGA hydrogel for bone tissue regeneration: in vitro and in vivo characteristics. </w:t>
      </w:r>
      <w:r w:rsidRPr="00302F26">
        <w:rPr>
          <w:rFonts w:ascii="Times New Roman" w:hAnsi="Times New Roman" w:cs="Times New Roman"/>
          <w:i/>
          <w:iCs/>
          <w:noProof/>
          <w:sz w:val="24"/>
          <w:szCs w:val="24"/>
        </w:rPr>
        <w:t>J Biomed Mater Res A</w:t>
      </w:r>
      <w:r w:rsidRPr="00302F26">
        <w:rPr>
          <w:rFonts w:ascii="Times New Roman" w:hAnsi="Times New Roman" w:cs="Times New Roman"/>
          <w:noProof/>
          <w:sz w:val="24"/>
          <w:szCs w:val="24"/>
        </w:rPr>
        <w:t>. 2015;103(11):3580-3589. doi:10.1002/jbm.a.35499 [doi].</w:t>
      </w:r>
    </w:p>
    <w:p w14:paraId="10F7BB67" w14:textId="026BA47F" w:rsidR="00E85344" w:rsidRPr="00E85344" w:rsidRDefault="00302F26" w:rsidP="2CC57DB6">
      <w:pPr>
        <w:rPr>
          <w:rFonts w:ascii="Times New Roman" w:hAnsi="Times New Roman" w:cs="Times New Roman"/>
          <w:bCs/>
          <w:sz w:val="24"/>
          <w:szCs w:val="24"/>
        </w:rPr>
      </w:pPr>
      <w:r>
        <w:rPr>
          <w:rFonts w:ascii="Times New Roman" w:hAnsi="Times New Roman" w:cs="Times New Roman"/>
          <w:bCs/>
          <w:sz w:val="24"/>
          <w:szCs w:val="24"/>
        </w:rPr>
        <w:fldChar w:fldCharType="end"/>
      </w:r>
    </w:p>
    <w:sectPr w:rsidR="00E85344" w:rsidRPr="00E853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97943"/>
    <w:multiLevelType w:val="hybridMultilevel"/>
    <w:tmpl w:val="04324142"/>
    <w:lvl w:ilvl="0" w:tplc="C3DA2126">
      <w:start w:val="1"/>
      <w:numFmt w:val="lowerRoman"/>
      <w:lvlText w:val="(%1)"/>
      <w:lvlJc w:val="left"/>
      <w:pPr>
        <w:ind w:left="765" w:hanging="720"/>
      </w:pPr>
      <w:rPr>
        <w:color w:val="auto"/>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BE3"/>
    <w:rsid w:val="000009C1"/>
    <w:rsid w:val="00006DA2"/>
    <w:rsid w:val="0001486A"/>
    <w:rsid w:val="000158BA"/>
    <w:rsid w:val="000261A0"/>
    <w:rsid w:val="00030AAD"/>
    <w:rsid w:val="0003253B"/>
    <w:rsid w:val="00045315"/>
    <w:rsid w:val="00046515"/>
    <w:rsid w:val="00050427"/>
    <w:rsid w:val="0005078D"/>
    <w:rsid w:val="0005265F"/>
    <w:rsid w:val="000557AA"/>
    <w:rsid w:val="00061B62"/>
    <w:rsid w:val="0006261D"/>
    <w:rsid w:val="0006453D"/>
    <w:rsid w:val="00064AA5"/>
    <w:rsid w:val="00075509"/>
    <w:rsid w:val="00076293"/>
    <w:rsid w:val="00086444"/>
    <w:rsid w:val="000A634B"/>
    <w:rsid w:val="000B18E1"/>
    <w:rsid w:val="000B6AC3"/>
    <w:rsid w:val="000B6BAE"/>
    <w:rsid w:val="000C2676"/>
    <w:rsid w:val="000C50B7"/>
    <w:rsid w:val="000C6C68"/>
    <w:rsid w:val="000D5D56"/>
    <w:rsid w:val="000E65E3"/>
    <w:rsid w:val="000F3514"/>
    <w:rsid w:val="000F3959"/>
    <w:rsid w:val="00116D1B"/>
    <w:rsid w:val="00117947"/>
    <w:rsid w:val="0012688A"/>
    <w:rsid w:val="00132256"/>
    <w:rsid w:val="00143DF0"/>
    <w:rsid w:val="00151F49"/>
    <w:rsid w:val="00170826"/>
    <w:rsid w:val="00173265"/>
    <w:rsid w:val="00185B1F"/>
    <w:rsid w:val="001902B6"/>
    <w:rsid w:val="00191B02"/>
    <w:rsid w:val="00193716"/>
    <w:rsid w:val="0019390A"/>
    <w:rsid w:val="00195668"/>
    <w:rsid w:val="00195F41"/>
    <w:rsid w:val="001A4E25"/>
    <w:rsid w:val="001B676D"/>
    <w:rsid w:val="001C1DD7"/>
    <w:rsid w:val="001C6367"/>
    <w:rsid w:val="001D695C"/>
    <w:rsid w:val="001E1629"/>
    <w:rsid w:val="001F0815"/>
    <w:rsid w:val="001F5BE3"/>
    <w:rsid w:val="002159C3"/>
    <w:rsid w:val="00217691"/>
    <w:rsid w:val="00222833"/>
    <w:rsid w:val="00253B9C"/>
    <w:rsid w:val="00264CA9"/>
    <w:rsid w:val="00265622"/>
    <w:rsid w:val="00266C8B"/>
    <w:rsid w:val="00272054"/>
    <w:rsid w:val="002818DE"/>
    <w:rsid w:val="00292E48"/>
    <w:rsid w:val="00295187"/>
    <w:rsid w:val="002E7C63"/>
    <w:rsid w:val="002F2D46"/>
    <w:rsid w:val="002F404E"/>
    <w:rsid w:val="00302F26"/>
    <w:rsid w:val="003079A4"/>
    <w:rsid w:val="00320ED0"/>
    <w:rsid w:val="00336941"/>
    <w:rsid w:val="003463D0"/>
    <w:rsid w:val="00372AC8"/>
    <w:rsid w:val="003732FA"/>
    <w:rsid w:val="0038796A"/>
    <w:rsid w:val="003A3772"/>
    <w:rsid w:val="003A40DB"/>
    <w:rsid w:val="003A6503"/>
    <w:rsid w:val="003B5DF3"/>
    <w:rsid w:val="003C2E59"/>
    <w:rsid w:val="003C7314"/>
    <w:rsid w:val="003D1061"/>
    <w:rsid w:val="003D3405"/>
    <w:rsid w:val="003D3642"/>
    <w:rsid w:val="003E7EF5"/>
    <w:rsid w:val="003F6BB0"/>
    <w:rsid w:val="0042670A"/>
    <w:rsid w:val="004453C9"/>
    <w:rsid w:val="00445CF5"/>
    <w:rsid w:val="00452768"/>
    <w:rsid w:val="00460E55"/>
    <w:rsid w:val="004711B8"/>
    <w:rsid w:val="004772EA"/>
    <w:rsid w:val="0048434D"/>
    <w:rsid w:val="004856B0"/>
    <w:rsid w:val="00495FF2"/>
    <w:rsid w:val="004A250A"/>
    <w:rsid w:val="004A4990"/>
    <w:rsid w:val="004B7008"/>
    <w:rsid w:val="004C030F"/>
    <w:rsid w:val="004C262D"/>
    <w:rsid w:val="004D1EF0"/>
    <w:rsid w:val="004E056E"/>
    <w:rsid w:val="005061E2"/>
    <w:rsid w:val="005132F2"/>
    <w:rsid w:val="005200E9"/>
    <w:rsid w:val="00521BC0"/>
    <w:rsid w:val="00521FB9"/>
    <w:rsid w:val="0052254E"/>
    <w:rsid w:val="00530B6C"/>
    <w:rsid w:val="00535E54"/>
    <w:rsid w:val="00551940"/>
    <w:rsid w:val="00555346"/>
    <w:rsid w:val="00555A10"/>
    <w:rsid w:val="0056048F"/>
    <w:rsid w:val="005768EE"/>
    <w:rsid w:val="0059008C"/>
    <w:rsid w:val="00590531"/>
    <w:rsid w:val="00597037"/>
    <w:rsid w:val="005B4C5E"/>
    <w:rsid w:val="005B70F2"/>
    <w:rsid w:val="005C098E"/>
    <w:rsid w:val="005C5588"/>
    <w:rsid w:val="005D3F21"/>
    <w:rsid w:val="005E2AFD"/>
    <w:rsid w:val="005F3C6F"/>
    <w:rsid w:val="005F5A7A"/>
    <w:rsid w:val="006154C0"/>
    <w:rsid w:val="00623B28"/>
    <w:rsid w:val="00644B76"/>
    <w:rsid w:val="00654C1F"/>
    <w:rsid w:val="0065581D"/>
    <w:rsid w:val="006609E7"/>
    <w:rsid w:val="00677A8C"/>
    <w:rsid w:val="0068440A"/>
    <w:rsid w:val="00687115"/>
    <w:rsid w:val="00690ABE"/>
    <w:rsid w:val="006A1842"/>
    <w:rsid w:val="006A6D49"/>
    <w:rsid w:val="006C3A12"/>
    <w:rsid w:val="006C3B9D"/>
    <w:rsid w:val="006F23A0"/>
    <w:rsid w:val="00704A14"/>
    <w:rsid w:val="00705CC9"/>
    <w:rsid w:val="00707ACA"/>
    <w:rsid w:val="00710C16"/>
    <w:rsid w:val="00721DB4"/>
    <w:rsid w:val="0074571D"/>
    <w:rsid w:val="00752491"/>
    <w:rsid w:val="007613B4"/>
    <w:rsid w:val="00761D36"/>
    <w:rsid w:val="007620DF"/>
    <w:rsid w:val="00767EDD"/>
    <w:rsid w:val="00773B66"/>
    <w:rsid w:val="00775D61"/>
    <w:rsid w:val="007928DB"/>
    <w:rsid w:val="007A064F"/>
    <w:rsid w:val="007A480A"/>
    <w:rsid w:val="007B7223"/>
    <w:rsid w:val="007C222D"/>
    <w:rsid w:val="007D3CFE"/>
    <w:rsid w:val="007E2992"/>
    <w:rsid w:val="0080463C"/>
    <w:rsid w:val="008140CA"/>
    <w:rsid w:val="008221B3"/>
    <w:rsid w:val="00827DC0"/>
    <w:rsid w:val="00832055"/>
    <w:rsid w:val="00833B96"/>
    <w:rsid w:val="008355BA"/>
    <w:rsid w:val="008375CD"/>
    <w:rsid w:val="0086522A"/>
    <w:rsid w:val="00866B96"/>
    <w:rsid w:val="008C0378"/>
    <w:rsid w:val="008D1AB5"/>
    <w:rsid w:val="008D53C1"/>
    <w:rsid w:val="008D60B7"/>
    <w:rsid w:val="008E3FFA"/>
    <w:rsid w:val="008E424C"/>
    <w:rsid w:val="008E49E2"/>
    <w:rsid w:val="008E5AF9"/>
    <w:rsid w:val="008E7215"/>
    <w:rsid w:val="008F0EF8"/>
    <w:rsid w:val="008F3B2D"/>
    <w:rsid w:val="008F3FF5"/>
    <w:rsid w:val="00903C78"/>
    <w:rsid w:val="009071BC"/>
    <w:rsid w:val="009140C3"/>
    <w:rsid w:val="009272B1"/>
    <w:rsid w:val="00934FD3"/>
    <w:rsid w:val="009555F5"/>
    <w:rsid w:val="00981294"/>
    <w:rsid w:val="009A31EA"/>
    <w:rsid w:val="009A5E37"/>
    <w:rsid w:val="009C7935"/>
    <w:rsid w:val="009D1E7B"/>
    <w:rsid w:val="009D37DA"/>
    <w:rsid w:val="009E54AE"/>
    <w:rsid w:val="009E624B"/>
    <w:rsid w:val="009E6B67"/>
    <w:rsid w:val="009F48A2"/>
    <w:rsid w:val="009F4A66"/>
    <w:rsid w:val="009F7187"/>
    <w:rsid w:val="009F7CA2"/>
    <w:rsid w:val="00A03A83"/>
    <w:rsid w:val="00A107E0"/>
    <w:rsid w:val="00A11D5C"/>
    <w:rsid w:val="00A13A1F"/>
    <w:rsid w:val="00A150C1"/>
    <w:rsid w:val="00A172BA"/>
    <w:rsid w:val="00A17456"/>
    <w:rsid w:val="00A26154"/>
    <w:rsid w:val="00A374FC"/>
    <w:rsid w:val="00A4697B"/>
    <w:rsid w:val="00A534E5"/>
    <w:rsid w:val="00A5674B"/>
    <w:rsid w:val="00A57007"/>
    <w:rsid w:val="00A642D7"/>
    <w:rsid w:val="00A64786"/>
    <w:rsid w:val="00A7557E"/>
    <w:rsid w:val="00A96051"/>
    <w:rsid w:val="00A96749"/>
    <w:rsid w:val="00AB13D3"/>
    <w:rsid w:val="00AB5D75"/>
    <w:rsid w:val="00AD5570"/>
    <w:rsid w:val="00AD6935"/>
    <w:rsid w:val="00AE458A"/>
    <w:rsid w:val="00AE6B8E"/>
    <w:rsid w:val="00AE7116"/>
    <w:rsid w:val="00AF7677"/>
    <w:rsid w:val="00B07CA3"/>
    <w:rsid w:val="00B20EA6"/>
    <w:rsid w:val="00B25C27"/>
    <w:rsid w:val="00B5008F"/>
    <w:rsid w:val="00B5785B"/>
    <w:rsid w:val="00B6321B"/>
    <w:rsid w:val="00B77064"/>
    <w:rsid w:val="00B77A82"/>
    <w:rsid w:val="00B826F1"/>
    <w:rsid w:val="00B86847"/>
    <w:rsid w:val="00B929BC"/>
    <w:rsid w:val="00B96B4C"/>
    <w:rsid w:val="00BA1B70"/>
    <w:rsid w:val="00BB0661"/>
    <w:rsid w:val="00BC5E83"/>
    <w:rsid w:val="00BE245A"/>
    <w:rsid w:val="00BE4A05"/>
    <w:rsid w:val="00C0317E"/>
    <w:rsid w:val="00C200F8"/>
    <w:rsid w:val="00C43ACE"/>
    <w:rsid w:val="00C57751"/>
    <w:rsid w:val="00C57840"/>
    <w:rsid w:val="00C85AEB"/>
    <w:rsid w:val="00C97F5F"/>
    <w:rsid w:val="00CA1039"/>
    <w:rsid w:val="00CB157C"/>
    <w:rsid w:val="00CC7153"/>
    <w:rsid w:val="00CE49A6"/>
    <w:rsid w:val="00CF236D"/>
    <w:rsid w:val="00CF24F8"/>
    <w:rsid w:val="00CF3B2D"/>
    <w:rsid w:val="00D15CEC"/>
    <w:rsid w:val="00D34B2C"/>
    <w:rsid w:val="00D35240"/>
    <w:rsid w:val="00D45555"/>
    <w:rsid w:val="00D9177B"/>
    <w:rsid w:val="00D94023"/>
    <w:rsid w:val="00D96039"/>
    <w:rsid w:val="00DA15B9"/>
    <w:rsid w:val="00DC14BC"/>
    <w:rsid w:val="00DC1C86"/>
    <w:rsid w:val="00DE052F"/>
    <w:rsid w:val="00DE2FEB"/>
    <w:rsid w:val="00DF5D5E"/>
    <w:rsid w:val="00DF74BF"/>
    <w:rsid w:val="00E15CF4"/>
    <w:rsid w:val="00E16C17"/>
    <w:rsid w:val="00E2631F"/>
    <w:rsid w:val="00E26366"/>
    <w:rsid w:val="00E454F5"/>
    <w:rsid w:val="00E51195"/>
    <w:rsid w:val="00E52FA6"/>
    <w:rsid w:val="00E53210"/>
    <w:rsid w:val="00E5439B"/>
    <w:rsid w:val="00E560F0"/>
    <w:rsid w:val="00E66281"/>
    <w:rsid w:val="00E67599"/>
    <w:rsid w:val="00E85344"/>
    <w:rsid w:val="00EC5060"/>
    <w:rsid w:val="00EC5A96"/>
    <w:rsid w:val="00EC6AAF"/>
    <w:rsid w:val="00ED4047"/>
    <w:rsid w:val="00ED448E"/>
    <w:rsid w:val="00EF1721"/>
    <w:rsid w:val="00EF1D4F"/>
    <w:rsid w:val="00EF2C04"/>
    <w:rsid w:val="00EF31FC"/>
    <w:rsid w:val="00EF3EC2"/>
    <w:rsid w:val="00F21935"/>
    <w:rsid w:val="00F3409C"/>
    <w:rsid w:val="00F43108"/>
    <w:rsid w:val="00F50A62"/>
    <w:rsid w:val="00F542AA"/>
    <w:rsid w:val="00F6189F"/>
    <w:rsid w:val="00F70F84"/>
    <w:rsid w:val="00F70FBC"/>
    <w:rsid w:val="00F83449"/>
    <w:rsid w:val="00F84F98"/>
    <w:rsid w:val="00F85CDB"/>
    <w:rsid w:val="00F91DB6"/>
    <w:rsid w:val="00F93D42"/>
    <w:rsid w:val="00FA1619"/>
    <w:rsid w:val="00FA1E10"/>
    <w:rsid w:val="00FA274B"/>
    <w:rsid w:val="00FA5D7E"/>
    <w:rsid w:val="00FE024F"/>
    <w:rsid w:val="00FE0B1F"/>
    <w:rsid w:val="00FE12CC"/>
    <w:rsid w:val="00FE7855"/>
    <w:rsid w:val="2CC57DB6"/>
    <w:rsid w:val="6E649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868EF"/>
  <w15:chartTrackingRefBased/>
  <w15:docId w15:val="{2F226400-20AE-45BA-89C0-A1B12C584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BE3"/>
    <w:pPr>
      <w:spacing w:after="0" w:line="240" w:lineRule="auto"/>
      <w:ind w:left="720"/>
    </w:pPr>
    <w:rPr>
      <w:rFonts w:ascii="Courier" w:eastAsia="Times New Roman" w:hAnsi="Courier" w:cs="Times New Roman"/>
      <w:sz w:val="24"/>
      <w:szCs w:val="20"/>
    </w:rPr>
  </w:style>
  <w:style w:type="character" w:styleId="CommentReference">
    <w:name w:val="annotation reference"/>
    <w:basedOn w:val="DefaultParagraphFont"/>
    <w:uiPriority w:val="99"/>
    <w:semiHidden/>
    <w:unhideWhenUsed/>
    <w:rsid w:val="00AB13D3"/>
    <w:rPr>
      <w:sz w:val="16"/>
      <w:szCs w:val="16"/>
    </w:rPr>
  </w:style>
  <w:style w:type="paragraph" w:styleId="CommentText">
    <w:name w:val="annotation text"/>
    <w:basedOn w:val="Normal"/>
    <w:link w:val="CommentTextChar"/>
    <w:uiPriority w:val="99"/>
    <w:semiHidden/>
    <w:unhideWhenUsed/>
    <w:rsid w:val="00AB13D3"/>
    <w:pPr>
      <w:spacing w:line="240" w:lineRule="auto"/>
    </w:pPr>
    <w:rPr>
      <w:sz w:val="20"/>
      <w:szCs w:val="20"/>
    </w:rPr>
  </w:style>
  <w:style w:type="character" w:customStyle="1" w:styleId="CommentTextChar">
    <w:name w:val="Comment Text Char"/>
    <w:basedOn w:val="DefaultParagraphFont"/>
    <w:link w:val="CommentText"/>
    <w:uiPriority w:val="99"/>
    <w:semiHidden/>
    <w:rsid w:val="00AB13D3"/>
    <w:rPr>
      <w:sz w:val="20"/>
      <w:szCs w:val="20"/>
    </w:rPr>
  </w:style>
  <w:style w:type="paragraph" w:styleId="CommentSubject">
    <w:name w:val="annotation subject"/>
    <w:basedOn w:val="CommentText"/>
    <w:next w:val="CommentText"/>
    <w:link w:val="CommentSubjectChar"/>
    <w:uiPriority w:val="99"/>
    <w:semiHidden/>
    <w:unhideWhenUsed/>
    <w:rsid w:val="00AB13D3"/>
    <w:rPr>
      <w:b/>
      <w:bCs/>
    </w:rPr>
  </w:style>
  <w:style w:type="character" w:customStyle="1" w:styleId="CommentSubjectChar">
    <w:name w:val="Comment Subject Char"/>
    <w:basedOn w:val="CommentTextChar"/>
    <w:link w:val="CommentSubject"/>
    <w:uiPriority w:val="99"/>
    <w:semiHidden/>
    <w:rsid w:val="00AB13D3"/>
    <w:rPr>
      <w:b/>
      <w:bCs/>
      <w:sz w:val="20"/>
      <w:szCs w:val="20"/>
    </w:rPr>
  </w:style>
  <w:style w:type="paragraph" w:styleId="BalloonText">
    <w:name w:val="Balloon Text"/>
    <w:basedOn w:val="Normal"/>
    <w:link w:val="BalloonTextChar"/>
    <w:uiPriority w:val="99"/>
    <w:semiHidden/>
    <w:unhideWhenUsed/>
    <w:rsid w:val="00AB1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3D3"/>
    <w:rPr>
      <w:rFonts w:ascii="Segoe UI" w:hAnsi="Segoe UI" w:cs="Segoe UI"/>
      <w:sz w:val="18"/>
      <w:szCs w:val="18"/>
    </w:rPr>
  </w:style>
  <w:style w:type="table" w:styleId="TableGrid">
    <w:name w:val="Table Grid"/>
    <w:basedOn w:val="TableNormal"/>
    <w:uiPriority w:val="39"/>
    <w:rsid w:val="008F3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41840-1F81-4EAF-9B95-92FA6B01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21</Pages>
  <Words>45380</Words>
  <Characters>258670</Characters>
  <Application>Microsoft Office Word</Application>
  <DocSecurity>0</DocSecurity>
  <Lines>2155</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Sravisht Iyer</dc:creator>
  <cp:keywords/>
  <dc:description/>
  <cp:lastModifiedBy>Sravisht Iyer</cp:lastModifiedBy>
  <cp:revision>32</cp:revision>
  <dcterms:created xsi:type="dcterms:W3CDTF">2017-06-10T01:49:00Z</dcterms:created>
  <dcterms:modified xsi:type="dcterms:W3CDTF">2017-06-16T04:53:00Z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http://www.zotero.org/styles/harvard-cite-them-right</vt:lpwstr>
  </property>
  <property fmtid="{D5CDD505-2E9C-101B-9397-08002B2CF9AE}" pid="7" name="Mendeley Recent Style Name 2_1">
    <vt:lpwstr>Harvard - Cite Them Right 9th edition</vt:lpwstr>
  </property>
  <property fmtid="{D5CDD505-2E9C-101B-9397-08002B2CF9AE}" pid="8" name="Mendeley Recent Style Id 3_1">
    <vt:lpwstr>http://www.zotero.org/styles/journal-of-neurosurgery-spine</vt:lpwstr>
  </property>
  <property fmtid="{D5CDD505-2E9C-101B-9397-08002B2CF9AE}" pid="9" name="Mendeley Recent Style Name 3_1">
    <vt:lpwstr>Journal of Neurosurgery: Spine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7th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http://www.zotero.org/styles/spine-deformity</vt:lpwstr>
  </property>
  <property fmtid="{D5CDD505-2E9C-101B-9397-08002B2CF9AE}" pid="17" name="Mendeley Recent Style Name 7_1">
    <vt:lpwstr>Spine Deformity</vt:lpwstr>
  </property>
  <property fmtid="{D5CDD505-2E9C-101B-9397-08002B2CF9AE}" pid="18" name="Mendeley Recent Style Id 8_1">
    <vt:lpwstr>http://www.zotero.org/styles/the-journal-of-bone-and-joint-surgery</vt:lpwstr>
  </property>
  <property fmtid="{D5CDD505-2E9C-101B-9397-08002B2CF9AE}" pid="19" name="Mendeley Recent Style Name 8_1">
    <vt:lpwstr>The Journal of Bone &amp; Joint Surgery</vt:lpwstr>
  </property>
  <property fmtid="{D5CDD505-2E9C-101B-9397-08002B2CF9AE}" pid="20" name="Mendeley Recent Style Id 9_1">
    <vt:lpwstr>http://www.zotero.org/styles/the-spine-journal</vt:lpwstr>
  </property>
  <property fmtid="{D5CDD505-2E9C-101B-9397-08002B2CF9AE}" pid="21" name="Mendeley Recent Style Name 9_1">
    <vt:lpwstr>The Spine Journal</vt:lpwstr>
  </property>
  <property fmtid="{D5CDD505-2E9C-101B-9397-08002B2CF9AE}" pid="22" name="Mendeley Document_1">
    <vt:lpwstr>True</vt:lpwstr>
  </property>
  <property fmtid="{D5CDD505-2E9C-101B-9397-08002B2CF9AE}" pid="23" name="Mendeley Unique User Id_1">
    <vt:lpwstr>a507371e-27de-338f-b38c-2253058d2f1a</vt:lpwstr>
  </property>
  <property fmtid="{D5CDD505-2E9C-101B-9397-08002B2CF9AE}" pid="24" name="Mendeley Citation Style_1">
    <vt:lpwstr>http://www.zotero.org/styles/the-journal-of-bone-and-joint-surgery</vt:lpwstr>
  </property>
</Properties>
</file>